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8CF6" w14:textId="322BB487" w:rsidR="00EE79AB" w:rsidRPr="007307C0" w:rsidRDefault="00084872" w:rsidP="00EE79AB">
      <w:pPr>
        <w:pStyle w:val="PMEHeading1"/>
        <w:rPr>
          <w:lang w:val="en-GB"/>
        </w:rPr>
      </w:pPr>
      <w:r w:rsidRPr="007307C0">
        <w:rPr>
          <w:lang w:val="en-GB"/>
        </w:rPr>
        <w:t>mapping objectification in early algebraic discourse</w:t>
      </w:r>
    </w:p>
    <w:p w14:paraId="1FAAB946" w14:textId="1F0C2AF0" w:rsidR="00EE79AB" w:rsidRPr="007307C0" w:rsidRDefault="00084872" w:rsidP="00EE79AB">
      <w:pPr>
        <w:pStyle w:val="PMEAuthorInstitution"/>
        <w:rPr>
          <w:vertAlign w:val="superscript"/>
          <w:lang w:val="en-GB"/>
        </w:rPr>
      </w:pPr>
      <w:r w:rsidRPr="007307C0">
        <w:rPr>
          <w:lang w:val="en-GB"/>
        </w:rPr>
        <w:t>Avital Elbaum-Cohen</w:t>
      </w:r>
      <w:r w:rsidRPr="007307C0">
        <w:rPr>
          <w:vertAlign w:val="superscript"/>
          <w:lang w:val="en-GB"/>
        </w:rPr>
        <w:t>1</w:t>
      </w:r>
      <w:r w:rsidRPr="007307C0">
        <w:rPr>
          <w:lang w:val="en-GB"/>
        </w:rPr>
        <w:t>,</w:t>
      </w:r>
      <w:r w:rsidR="00EE79AB" w:rsidRPr="007307C0">
        <w:rPr>
          <w:lang w:val="en-GB"/>
        </w:rPr>
        <w:t xml:space="preserve"> </w:t>
      </w:r>
      <w:r w:rsidRPr="007307C0">
        <w:rPr>
          <w:u w:val="single"/>
          <w:lang w:val="en-GB"/>
        </w:rPr>
        <w:t>Einat Heyd-Metzuyanim</w:t>
      </w:r>
      <w:r w:rsidRPr="007307C0">
        <w:rPr>
          <w:u w:val="single"/>
          <w:vertAlign w:val="superscript"/>
          <w:lang w:val="en-GB"/>
        </w:rPr>
        <w:t>1</w:t>
      </w:r>
      <w:r w:rsidRPr="007307C0">
        <w:rPr>
          <w:lang w:val="en-GB"/>
        </w:rPr>
        <w:t>, Michal Tabach</w:t>
      </w:r>
      <w:r w:rsidRPr="007307C0">
        <w:rPr>
          <w:vertAlign w:val="superscript"/>
          <w:lang w:val="en-GB"/>
        </w:rPr>
        <w:t>2</w:t>
      </w:r>
    </w:p>
    <w:p w14:paraId="7392684D" w14:textId="402F5B4A" w:rsidR="00EE79AB" w:rsidRPr="007307C0" w:rsidRDefault="00B93FF4" w:rsidP="00EE79AB">
      <w:pPr>
        <w:pStyle w:val="PMEAuthorInstitution"/>
        <w:rPr>
          <w:lang w:val="en-GB"/>
        </w:rPr>
      </w:pPr>
      <w:r w:rsidRPr="007307C0">
        <w:rPr>
          <w:vertAlign w:val="superscript"/>
          <w:lang w:val="en-GB"/>
        </w:rPr>
        <w:t>1</w:t>
      </w:r>
      <w:r w:rsidRPr="007307C0">
        <w:rPr>
          <w:lang w:val="en-GB"/>
        </w:rPr>
        <w:t xml:space="preserve">Technion – Israel Institute of Technology, </w:t>
      </w:r>
      <w:r w:rsidRPr="007307C0">
        <w:rPr>
          <w:vertAlign w:val="superscript"/>
          <w:lang w:val="en-GB"/>
        </w:rPr>
        <w:t>2</w:t>
      </w:r>
      <w:r w:rsidRPr="007307C0">
        <w:rPr>
          <w:lang w:val="en-GB"/>
        </w:rPr>
        <w:t>Tel Aviv University</w:t>
      </w:r>
    </w:p>
    <w:p w14:paraId="52B842D0" w14:textId="77777777" w:rsidR="00EE79AB" w:rsidRPr="007307C0" w:rsidRDefault="00EE79AB" w:rsidP="002F7F94">
      <w:pPr>
        <w:pStyle w:val="PMENormal"/>
        <w:rPr>
          <w:lang w:val="en-GB"/>
        </w:rPr>
      </w:pPr>
    </w:p>
    <w:p w14:paraId="01E814AF" w14:textId="363EAF41" w:rsidR="00EE79AB" w:rsidRPr="007307C0" w:rsidRDefault="007307C0" w:rsidP="00D35331">
      <w:pPr>
        <w:pStyle w:val="PMEAbstract"/>
        <w:rPr>
          <w:lang w:val="en-GB"/>
        </w:rPr>
      </w:pPr>
      <w:r w:rsidRPr="007307C0">
        <w:rPr>
          <w:lang w:val="en-GB"/>
        </w:rPr>
        <w:t>This study is part of a larger study designed to produce tools for mapping students' arithmetic and algebraic discourse based on the commognitive theory</w:t>
      </w:r>
      <w:r w:rsidR="00C84EDA">
        <w:rPr>
          <w:lang w:val="en-US"/>
        </w:rPr>
        <w:t>. Commognition</w:t>
      </w:r>
      <w:r w:rsidRPr="007307C0">
        <w:rPr>
          <w:lang w:val="en-GB"/>
        </w:rPr>
        <w:t xml:space="preserve"> </w:t>
      </w:r>
      <w:r w:rsidR="00C84EDA">
        <w:rPr>
          <w:lang w:val="en-GB"/>
        </w:rPr>
        <w:t>theorizes</w:t>
      </w:r>
      <w:r w:rsidR="00C84EDA" w:rsidRPr="007307C0">
        <w:rPr>
          <w:lang w:val="en-GB"/>
        </w:rPr>
        <w:t xml:space="preserve"> </w:t>
      </w:r>
      <w:r w:rsidRPr="007307C0">
        <w:rPr>
          <w:lang w:val="en-GB"/>
        </w:rPr>
        <w:t xml:space="preserve">learning as a transition from ritual to explorative participation in </w:t>
      </w:r>
      <w:r w:rsidR="00C84EDA">
        <w:rPr>
          <w:lang w:val="en-GB"/>
        </w:rPr>
        <w:t xml:space="preserve">the mathematical </w:t>
      </w:r>
      <w:r w:rsidRPr="007307C0">
        <w:rPr>
          <w:lang w:val="en-GB"/>
        </w:rPr>
        <w:t>discourse</w:t>
      </w:r>
      <w:r w:rsidR="00C84EDA">
        <w:rPr>
          <w:lang w:val="en-GB"/>
        </w:rPr>
        <w:t>, characterized by increased objectification</w:t>
      </w:r>
      <w:r w:rsidRPr="007307C0">
        <w:rPr>
          <w:lang w:val="en-GB"/>
        </w:rPr>
        <w:t>.</w:t>
      </w:r>
      <w:r w:rsidR="00B33F72">
        <w:rPr>
          <w:lang w:val="en-GB"/>
        </w:rPr>
        <w:t xml:space="preserve"> W</w:t>
      </w:r>
      <w:r w:rsidRPr="007307C0">
        <w:rPr>
          <w:lang w:val="en-GB"/>
        </w:rPr>
        <w:t xml:space="preserve">e propose a method that examines the </w:t>
      </w:r>
      <w:r w:rsidR="00DA4FD4" w:rsidRPr="007307C0">
        <w:rPr>
          <w:lang w:val="en-GB"/>
        </w:rPr>
        <w:t>level</w:t>
      </w:r>
      <w:r w:rsidRPr="007307C0">
        <w:rPr>
          <w:lang w:val="en-GB"/>
        </w:rPr>
        <w:t xml:space="preserve"> of </w:t>
      </w:r>
      <w:r w:rsidR="00DA4FD4">
        <w:rPr>
          <w:lang w:val="en-GB"/>
        </w:rPr>
        <w:t>objectification</w:t>
      </w:r>
      <w:r w:rsidRPr="007307C0">
        <w:rPr>
          <w:lang w:val="en-GB"/>
        </w:rPr>
        <w:t xml:space="preserve"> in 7-8</w:t>
      </w:r>
      <w:r w:rsidR="00B33F72">
        <w:rPr>
          <w:lang w:val="en-GB"/>
        </w:rPr>
        <w:t xml:space="preserve"> grade students</w:t>
      </w:r>
      <w:r w:rsidR="00C43F0E">
        <w:rPr>
          <w:lang w:val="en-GB"/>
        </w:rPr>
        <w:t xml:space="preserve">’ </w:t>
      </w:r>
      <w:r w:rsidR="00C84EDA">
        <w:rPr>
          <w:lang w:val="en-GB"/>
        </w:rPr>
        <w:t xml:space="preserve">algebraic </w:t>
      </w:r>
      <w:r w:rsidR="00C43F0E">
        <w:rPr>
          <w:lang w:val="en-GB"/>
        </w:rPr>
        <w:t>discourse</w:t>
      </w:r>
      <w:r w:rsidRPr="007307C0">
        <w:rPr>
          <w:lang w:val="en-GB"/>
        </w:rPr>
        <w:t>, while identifying the objects about which the narratives in the students' discourse revolve.</w:t>
      </w:r>
      <w:r w:rsidR="00C84EDA">
        <w:rPr>
          <w:lang w:val="en-GB"/>
        </w:rPr>
        <w:t xml:space="preserve"> We demonstrate this method on one algebraic problem.</w:t>
      </w:r>
      <w:r w:rsidR="00B33F72">
        <w:rPr>
          <w:lang w:val="en-GB"/>
        </w:rPr>
        <w:t xml:space="preserve"> </w:t>
      </w:r>
      <w:r w:rsidR="00C84EDA">
        <w:rPr>
          <w:lang w:val="en-GB"/>
        </w:rPr>
        <w:t>Our findings</w:t>
      </w:r>
      <w:r w:rsidRPr="007307C0">
        <w:rPr>
          <w:lang w:val="en-GB"/>
        </w:rPr>
        <w:t xml:space="preserve"> show that </w:t>
      </w:r>
      <w:r w:rsidR="00C84EDA">
        <w:rPr>
          <w:lang w:val="en-GB"/>
        </w:rPr>
        <w:t>our</w:t>
      </w:r>
      <w:r w:rsidR="00C84EDA" w:rsidRPr="007307C0">
        <w:rPr>
          <w:lang w:val="en-GB"/>
        </w:rPr>
        <w:t xml:space="preserve"> </w:t>
      </w:r>
      <w:r w:rsidRPr="007307C0">
        <w:rPr>
          <w:lang w:val="en-GB"/>
        </w:rPr>
        <w:t xml:space="preserve">method succeeds in </w:t>
      </w:r>
      <w:r w:rsidR="00DA4FD4" w:rsidRPr="007307C0">
        <w:rPr>
          <w:lang w:val="en-GB"/>
        </w:rPr>
        <w:t>differentiating</w:t>
      </w:r>
      <w:r w:rsidRPr="007307C0">
        <w:rPr>
          <w:lang w:val="en-GB"/>
        </w:rPr>
        <w:t xml:space="preserve"> </w:t>
      </w:r>
      <w:r w:rsidR="00C84EDA">
        <w:rPr>
          <w:lang w:val="en-GB"/>
        </w:rPr>
        <w:t xml:space="preserve">canonical as well as non-canonical solutions </w:t>
      </w:r>
      <w:r w:rsidRPr="007307C0">
        <w:rPr>
          <w:lang w:val="en-GB"/>
        </w:rPr>
        <w:t xml:space="preserve">and in characterizing them on a continuum towards the </w:t>
      </w:r>
      <w:r w:rsidR="00DA4FD4">
        <w:rPr>
          <w:lang w:val="en-GB"/>
        </w:rPr>
        <w:t>objectification</w:t>
      </w:r>
      <w:r w:rsidRPr="007307C0">
        <w:rPr>
          <w:lang w:val="en-GB"/>
        </w:rPr>
        <w:t xml:space="preserve"> of a </w:t>
      </w:r>
      <w:r w:rsidR="00C84EDA">
        <w:rPr>
          <w:lang w:val="en-GB"/>
        </w:rPr>
        <w:t xml:space="preserve">generalized number, which can be realized as a </w:t>
      </w:r>
      <w:r w:rsidRPr="007307C0">
        <w:rPr>
          <w:lang w:val="en-GB"/>
        </w:rPr>
        <w:t>variable</w:t>
      </w:r>
      <w:r w:rsidR="00C84EDA">
        <w:rPr>
          <w:lang w:val="en-GB"/>
        </w:rPr>
        <w:t xml:space="preserve"> or an unknown</w:t>
      </w:r>
      <w:r w:rsidRPr="007307C0">
        <w:rPr>
          <w:lang w:val="en-GB"/>
        </w:rPr>
        <w:t xml:space="preserve">. </w:t>
      </w:r>
    </w:p>
    <w:p w14:paraId="7CF12DB7" w14:textId="7F86A26D" w:rsidR="00483A28" w:rsidRDefault="00483A28" w:rsidP="00483A28">
      <w:pPr>
        <w:pStyle w:val="PMENormal"/>
        <w:rPr>
          <w:lang w:val="en-US"/>
        </w:rPr>
      </w:pPr>
      <w:r>
        <w:rPr>
          <w:lang w:val="en-US"/>
        </w:rPr>
        <w:t xml:space="preserve">Algebraic thinking is a critical milestone in mathematics learning. Successfully learning algebra in school opens the gate to the rich world of academic mathematics. Yet, the transition students experience in school from arithmetic to algebra is accompanied with </w:t>
      </w:r>
      <w:r w:rsidR="00BC6564">
        <w:rPr>
          <w:lang w:val="en-US"/>
        </w:rPr>
        <w:t>some</w:t>
      </w:r>
      <w:r>
        <w:rPr>
          <w:lang w:val="en-US"/>
        </w:rPr>
        <w:t xml:space="preserve"> challenges that are not yet fully addressed by the research community (Kieran, </w:t>
      </w:r>
      <w:r w:rsidR="00BA64F7">
        <w:rPr>
          <w:lang w:val="en-US"/>
        </w:rPr>
        <w:t>2022</w:t>
      </w:r>
      <w:r>
        <w:rPr>
          <w:lang w:val="en-US"/>
        </w:rPr>
        <w:t xml:space="preserve">). Some of the efforts to overcome these challenges led mainstream studies to develop diagnostic tools that reflect snapshots of students’ performance at </w:t>
      </w:r>
      <w:proofErr w:type="gramStart"/>
      <w:r>
        <w:rPr>
          <w:lang w:val="en-US"/>
        </w:rPr>
        <w:t>particular points</w:t>
      </w:r>
      <w:proofErr w:type="gramEnd"/>
      <w:r>
        <w:rPr>
          <w:lang w:val="en-US"/>
        </w:rPr>
        <w:t xml:space="preserve"> in time (e.g., Stacey et al., 2018; </w:t>
      </w:r>
      <w:proofErr w:type="spellStart"/>
      <w:r w:rsidRPr="0095033B">
        <w:t>Klingbeil</w:t>
      </w:r>
      <w:proofErr w:type="spellEnd"/>
      <w:r>
        <w:t xml:space="preserve"> et al., 2024</w:t>
      </w:r>
      <w:r>
        <w:rPr>
          <w:lang w:val="en-US"/>
        </w:rPr>
        <w:t xml:space="preserve">). These tools mainly focus on student’s procedural challenges and misconceptions, yet they do not offer much insight into the developmental trajectory of algebra learning. Indeed, there is need for assessment tools that rely on a developmental theory of algebra learning, including the ways in which algebra learning builds on more basic, arithmetic, mathematical knowledge (Warren et al., 2016; Kieran, 2022). One such theory has been offered by Caspi and </w:t>
      </w:r>
      <w:proofErr w:type="spellStart"/>
      <w:r>
        <w:rPr>
          <w:lang w:val="en-US"/>
        </w:rPr>
        <w:t>Sfard</w:t>
      </w:r>
      <w:proofErr w:type="spellEnd"/>
      <w:r>
        <w:rPr>
          <w:lang w:val="en-US"/>
        </w:rPr>
        <w:t xml:space="preserve"> (2012), who suggested that algebra develops as a meta-discourse on arithmetic. So far, the commognitive theory has been useful for providing diagnostic tools for mapping students arithmetic discourse (Ben-Yehuda, 20</w:t>
      </w:r>
      <w:r w:rsidR="003E26E7">
        <w:rPr>
          <w:lang w:val="en-US"/>
        </w:rPr>
        <w:t>0</w:t>
      </w:r>
      <w:r>
        <w:rPr>
          <w:lang w:val="en-US"/>
        </w:rPr>
        <w:t xml:space="preserve">3; </w:t>
      </w:r>
      <w:proofErr w:type="spellStart"/>
      <w:r>
        <w:rPr>
          <w:lang w:val="en-US"/>
        </w:rPr>
        <w:t>Heyd-Metzuyanim</w:t>
      </w:r>
      <w:proofErr w:type="spellEnd"/>
      <w:r>
        <w:rPr>
          <w:lang w:val="en-US"/>
        </w:rPr>
        <w:t xml:space="preserve"> et al., 2022). However, applying these tools to map students’ algebraic discourse has remained a challenge, since a main part of the theory of de-ritualization, concerning objectification, has not been operationalized in terms of mastery of algebraic skills. Our aim is to address this gap, by offering a methodological tool that discerns different stages of objectification in the algebraic discourse. </w:t>
      </w:r>
    </w:p>
    <w:p w14:paraId="7480DEB8" w14:textId="5ABCD2E5" w:rsidR="00FB4279" w:rsidRDefault="00304682" w:rsidP="00304682">
      <w:pPr>
        <w:pStyle w:val="PMEHeading2"/>
        <w:rPr>
          <w:lang w:val="en-US"/>
        </w:rPr>
      </w:pPr>
      <w:r>
        <w:rPr>
          <w:lang w:val="en-US"/>
        </w:rPr>
        <w:t>Theoretical framework</w:t>
      </w:r>
    </w:p>
    <w:p w14:paraId="7283D97F" w14:textId="5A55CEE0" w:rsidR="007C19E2" w:rsidRPr="00FB4279" w:rsidRDefault="00CE6945" w:rsidP="00FB4279">
      <w:pPr>
        <w:pStyle w:val="PMENormal"/>
        <w:rPr>
          <w:lang w:val="en-US"/>
        </w:rPr>
      </w:pPr>
      <w:r w:rsidRPr="001404C0">
        <w:rPr>
          <w:color w:val="000000" w:themeColor="text1"/>
          <w:lang w:val="en-GB"/>
        </w:rPr>
        <w:t xml:space="preserve">The purpose of learning according to </w:t>
      </w:r>
      <w:r w:rsidR="00693162">
        <w:rPr>
          <w:color w:val="000000" w:themeColor="text1"/>
          <w:lang w:val="en-US" w:bidi="he-IL"/>
        </w:rPr>
        <w:t>the commognitive</w:t>
      </w:r>
      <w:r w:rsidR="00B63F26">
        <w:rPr>
          <w:color w:val="000000" w:themeColor="text1"/>
          <w:lang w:val="en-US" w:bidi="he-IL"/>
        </w:rPr>
        <w:t xml:space="preserve"> paradigm</w:t>
      </w:r>
      <w:r w:rsidR="00693162">
        <w:rPr>
          <w:color w:val="000000" w:themeColor="text1"/>
          <w:lang w:val="en-US" w:bidi="he-IL"/>
        </w:rPr>
        <w:t xml:space="preserve"> (</w:t>
      </w:r>
      <w:proofErr w:type="spellStart"/>
      <w:r w:rsidR="00693162">
        <w:rPr>
          <w:color w:val="000000" w:themeColor="text1"/>
          <w:lang w:val="en-US" w:bidi="he-IL"/>
        </w:rPr>
        <w:t>Sfard</w:t>
      </w:r>
      <w:proofErr w:type="spellEnd"/>
      <w:r w:rsidR="00693162">
        <w:rPr>
          <w:color w:val="000000" w:themeColor="text1"/>
          <w:lang w:val="en-US" w:bidi="he-IL"/>
        </w:rPr>
        <w:t>, 2008)</w:t>
      </w:r>
      <w:r w:rsidRPr="001404C0">
        <w:rPr>
          <w:color w:val="000000" w:themeColor="text1"/>
          <w:lang w:val="en-GB"/>
        </w:rPr>
        <w:t xml:space="preserve"> is the learner's transition from ritual participation in discourse—focused on performing </w:t>
      </w:r>
      <w:r w:rsidRPr="001404C0">
        <w:rPr>
          <w:color w:val="000000" w:themeColor="text1"/>
          <w:lang w:val="en-GB"/>
        </w:rPr>
        <w:lastRenderedPageBreak/>
        <w:t xml:space="preserve">procedures that imitate the performance of an expert—to </w:t>
      </w:r>
      <w:r w:rsidR="00B63F26">
        <w:rPr>
          <w:color w:val="000000" w:themeColor="text1"/>
          <w:lang w:val="en-GB"/>
        </w:rPr>
        <w:t>explorative</w:t>
      </w:r>
      <w:r w:rsidRPr="001404C0">
        <w:rPr>
          <w:color w:val="000000" w:themeColor="text1"/>
          <w:lang w:val="en-GB"/>
        </w:rPr>
        <w:t xml:space="preserve"> participation—focused on producing narratives about mathematical objects in discourse. A central aspect of this process is the objectification that occurs when the learner moves from using keywords </w:t>
      </w:r>
      <w:r>
        <w:rPr>
          <w:color w:val="000000" w:themeColor="text1"/>
          <w:lang w:val="en-GB"/>
        </w:rPr>
        <w:t xml:space="preserve">or signs </w:t>
      </w:r>
      <w:r w:rsidRPr="001404C0">
        <w:rPr>
          <w:color w:val="000000" w:themeColor="text1"/>
          <w:lang w:val="en-GB"/>
        </w:rPr>
        <w:t xml:space="preserve">as “empty” signifiers (that do not denote anything but themselves) to those that denote objects (Lavie et al., 2019). </w:t>
      </w:r>
      <w:r w:rsidR="00693162">
        <w:rPr>
          <w:color w:val="000000" w:themeColor="text1"/>
          <w:lang w:val="en-GB"/>
        </w:rPr>
        <w:t xml:space="preserve">The process of algebraic object formation germinates when students make their first steps in meta-arithmetic discourse (Caspi &amp; </w:t>
      </w:r>
      <w:proofErr w:type="spellStart"/>
      <w:r w:rsidR="00693162">
        <w:rPr>
          <w:color w:val="000000" w:themeColor="text1"/>
          <w:lang w:val="en-GB"/>
        </w:rPr>
        <w:t>Sfard</w:t>
      </w:r>
      <w:proofErr w:type="spellEnd"/>
      <w:r w:rsidR="00693162">
        <w:rPr>
          <w:color w:val="000000" w:themeColor="text1"/>
          <w:lang w:val="en-GB"/>
        </w:rPr>
        <w:t xml:space="preserve"> 2012) and continues</w:t>
      </w:r>
      <w:r w:rsidR="00CF6615">
        <w:rPr>
          <w:rFonts w:hint="cs"/>
          <w:color w:val="000000" w:themeColor="text1"/>
          <w:rtl/>
          <w:lang w:val="en-GB" w:bidi="he-IL"/>
        </w:rPr>
        <w:t xml:space="preserve"> </w:t>
      </w:r>
      <w:r w:rsidR="00CF6615">
        <w:rPr>
          <w:color w:val="000000" w:themeColor="text1"/>
          <w:lang w:val="en-US" w:bidi="he-IL"/>
        </w:rPr>
        <w:t>when students use symbols that signify algebraic objects</w:t>
      </w:r>
      <w:r w:rsidR="00693162">
        <w:rPr>
          <w:color w:val="000000" w:themeColor="text1"/>
          <w:lang w:val="en-GB"/>
        </w:rPr>
        <w:t xml:space="preserve">. </w:t>
      </w:r>
      <w:r w:rsidR="00CF6615">
        <w:rPr>
          <w:color w:val="000000" w:themeColor="text1"/>
          <w:lang w:val="en-GB"/>
        </w:rPr>
        <w:t>These will be called symbolically mediated objects</w:t>
      </w:r>
      <w:r w:rsidR="000B394C">
        <w:rPr>
          <w:color w:val="000000" w:themeColor="text1"/>
          <w:lang w:val="en-GB"/>
        </w:rPr>
        <w:t xml:space="preserve"> e.g., </w:t>
      </w:r>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7</m:t>
            </m:r>
          </m:den>
        </m:f>
      </m:oMath>
      <w:r w:rsidR="000B394C">
        <w:rPr>
          <w:lang w:val="en-GB"/>
        </w:rPr>
        <w:t xml:space="preserve"> that signifies a number divided by seven</w:t>
      </w:r>
      <w:r w:rsidR="00CF6615">
        <w:rPr>
          <w:color w:val="000000" w:themeColor="text1"/>
          <w:lang w:val="en-GB"/>
        </w:rPr>
        <w:t xml:space="preserve">. </w:t>
      </w:r>
      <w:r w:rsidRPr="001404C0">
        <w:rPr>
          <w:color w:val="000000" w:themeColor="text1"/>
          <w:lang w:val="en-GB"/>
        </w:rPr>
        <w:t xml:space="preserve">Another aspect of </w:t>
      </w:r>
      <w:r>
        <w:rPr>
          <w:color w:val="000000" w:themeColor="text1"/>
          <w:lang w:val="en-GB"/>
        </w:rPr>
        <w:t>explorative</w:t>
      </w:r>
      <w:r w:rsidRPr="001404C0">
        <w:rPr>
          <w:color w:val="000000" w:themeColor="text1"/>
          <w:lang w:val="en-GB"/>
        </w:rPr>
        <w:t xml:space="preserve"> participation concerns the characterization of narratives in discourse. In </w:t>
      </w:r>
      <w:r>
        <w:rPr>
          <w:color w:val="000000" w:themeColor="text1"/>
          <w:lang w:val="en-GB"/>
        </w:rPr>
        <w:t>explorative</w:t>
      </w:r>
      <w:r w:rsidRPr="001404C0">
        <w:rPr>
          <w:color w:val="000000" w:themeColor="text1"/>
          <w:lang w:val="en-GB"/>
        </w:rPr>
        <w:t xml:space="preserve"> participation, the learner attempts to produce stories about mathematical objects in a consistent and logically connected manner (</w:t>
      </w:r>
      <w:proofErr w:type="spellStart"/>
      <w:r w:rsidRPr="001404C0">
        <w:rPr>
          <w:color w:val="000000" w:themeColor="text1"/>
          <w:lang w:val="en-GB"/>
        </w:rPr>
        <w:t>Baccaglini</w:t>
      </w:r>
      <w:proofErr w:type="spellEnd"/>
      <w:r w:rsidRPr="001404C0">
        <w:rPr>
          <w:color w:val="000000" w:themeColor="text1"/>
          <w:lang w:val="en-GB"/>
        </w:rPr>
        <w:t>-Frank, 2021).</w:t>
      </w:r>
      <w:r>
        <w:rPr>
          <w:color w:val="000000" w:themeColor="text1"/>
          <w:lang w:val="en-GB"/>
        </w:rPr>
        <w:t xml:space="preserve"> </w:t>
      </w:r>
    </w:p>
    <w:p w14:paraId="1B05284D" w14:textId="76A9806A" w:rsidR="00D92B8B" w:rsidRDefault="00D92B8B" w:rsidP="001C21C1">
      <w:pPr>
        <w:pStyle w:val="PMENormal"/>
        <w:rPr>
          <w:lang w:val="en-GB"/>
        </w:rPr>
      </w:pPr>
      <w:r w:rsidRPr="007307C0">
        <w:rPr>
          <w:lang w:val="en-GB"/>
        </w:rPr>
        <w:t xml:space="preserve">This study is part of a large-scale study designed to produce tools for mapping students' arithmetic discourse and algebraic discourse. In previous parts of the study, a tool was developed for mapping elementary school graduates' arithmetic discourse on the </w:t>
      </w:r>
      <w:r w:rsidR="00C97A7A">
        <w:rPr>
          <w:lang w:val="en-GB"/>
        </w:rPr>
        <w:t>continuum</w:t>
      </w:r>
      <w:r w:rsidRPr="007307C0">
        <w:rPr>
          <w:lang w:val="en-GB"/>
        </w:rPr>
        <w:t xml:space="preserve"> of ritual and </w:t>
      </w:r>
      <w:r w:rsidR="00C97A7A">
        <w:rPr>
          <w:lang w:val="en-GB"/>
        </w:rPr>
        <w:t>exploration</w:t>
      </w:r>
      <w:r w:rsidRPr="007307C0">
        <w:rPr>
          <w:lang w:val="en-GB"/>
        </w:rPr>
        <w:t xml:space="preserve"> (</w:t>
      </w:r>
      <w:proofErr w:type="spellStart"/>
      <w:r w:rsidR="00C81724">
        <w:rPr>
          <w:lang w:val="en-GB"/>
        </w:rPr>
        <w:t>Heyd-Metzuyanim</w:t>
      </w:r>
      <w:proofErr w:type="spellEnd"/>
      <w:r w:rsidRPr="007307C0">
        <w:rPr>
          <w:lang w:val="en-GB"/>
        </w:rPr>
        <w:t xml:space="preserve"> et al., 2022), as well as a tool for visually mapping </w:t>
      </w:r>
      <w:r w:rsidR="00C84EDA">
        <w:rPr>
          <w:lang w:val="en-GB"/>
        </w:rPr>
        <w:t>aspects of</w:t>
      </w:r>
      <w:r w:rsidRPr="007307C0">
        <w:rPr>
          <w:lang w:val="en-GB"/>
        </w:rPr>
        <w:t xml:space="preserve"> </w:t>
      </w:r>
      <w:r w:rsidR="00C97A7A">
        <w:rPr>
          <w:lang w:val="en-GB"/>
        </w:rPr>
        <w:t>objectification</w:t>
      </w:r>
      <w:r w:rsidRPr="007307C0">
        <w:rPr>
          <w:lang w:val="en-GB"/>
        </w:rPr>
        <w:t xml:space="preserve"> in algebraic discourse (Shahla </w:t>
      </w:r>
      <w:proofErr w:type="spellStart"/>
      <w:r w:rsidRPr="007307C0">
        <w:rPr>
          <w:lang w:val="en-GB"/>
        </w:rPr>
        <w:t>Demirdjian</w:t>
      </w:r>
      <w:proofErr w:type="spellEnd"/>
      <w:r w:rsidRPr="007307C0">
        <w:rPr>
          <w:lang w:val="en-GB"/>
        </w:rPr>
        <w:t xml:space="preserve">, 2025). However, </w:t>
      </w:r>
      <w:r w:rsidR="00C97A7A">
        <w:rPr>
          <w:lang w:val="en-GB"/>
        </w:rPr>
        <w:t>objectification</w:t>
      </w:r>
      <w:r w:rsidRPr="007307C0">
        <w:rPr>
          <w:lang w:val="en-GB"/>
        </w:rPr>
        <w:t xml:space="preserve"> in algebraic discourse remains difficult to map due to several challenges. First, </w:t>
      </w:r>
      <w:r w:rsidR="00E9446C">
        <w:rPr>
          <w:lang w:val="en-GB"/>
        </w:rPr>
        <w:t>there are several</w:t>
      </w:r>
      <w:r w:rsidRPr="007307C0">
        <w:rPr>
          <w:lang w:val="en-GB"/>
        </w:rPr>
        <w:t xml:space="preserve"> objects in algebraic discourse (variable, </w:t>
      </w:r>
      <w:r w:rsidR="00755107">
        <w:rPr>
          <w:lang w:val="en-GB"/>
        </w:rPr>
        <w:t>unknown</w:t>
      </w:r>
      <w:r w:rsidRPr="007307C0">
        <w:rPr>
          <w:lang w:val="en-GB"/>
        </w:rPr>
        <w:t xml:space="preserve">, equation, etc.). Second, previous studies (Cohen, 2024; Shahla </w:t>
      </w:r>
      <w:proofErr w:type="spellStart"/>
      <w:r w:rsidRPr="007307C0">
        <w:rPr>
          <w:lang w:val="en-GB"/>
        </w:rPr>
        <w:t>Demirdjian</w:t>
      </w:r>
      <w:proofErr w:type="spellEnd"/>
      <w:r w:rsidRPr="007307C0">
        <w:rPr>
          <w:lang w:val="en-GB"/>
        </w:rPr>
        <w:t xml:space="preserve">, 2025) have indicated a great deal of variation in the ways in which seventh- and eighth-grade students solve algebraic problems noncanonically, which has made it difficult to map the development of discourse along a single axis. This mapping is important for progress toward quantification, which will allow the application of </w:t>
      </w:r>
      <w:r w:rsidR="00C97A7A">
        <w:rPr>
          <w:lang w:val="en-GB"/>
        </w:rPr>
        <w:t>commognitive</w:t>
      </w:r>
      <w:r w:rsidRPr="007307C0">
        <w:rPr>
          <w:lang w:val="en-GB"/>
        </w:rPr>
        <w:t xml:space="preserve"> theory to larger samples.</w:t>
      </w:r>
    </w:p>
    <w:p w14:paraId="6A0D18C2" w14:textId="2440C7A7" w:rsidR="00D92B8B" w:rsidRPr="00693162" w:rsidRDefault="00D92B8B" w:rsidP="002860C1">
      <w:pPr>
        <w:pStyle w:val="PMENormal"/>
        <w:rPr>
          <w:i/>
          <w:iCs/>
          <w:color w:val="000000" w:themeColor="text1"/>
          <w:lang w:val="en-GB"/>
        </w:rPr>
      </w:pPr>
      <w:r w:rsidRPr="001404C0">
        <w:rPr>
          <w:color w:val="000000" w:themeColor="text1"/>
          <w:lang w:val="en-GB"/>
        </w:rPr>
        <w:t xml:space="preserve">At the beginning of </w:t>
      </w:r>
      <w:r w:rsidR="00244A8C">
        <w:rPr>
          <w:color w:val="000000" w:themeColor="text1"/>
          <w:lang w:val="en-GB"/>
        </w:rPr>
        <w:t xml:space="preserve">learning </w:t>
      </w:r>
      <w:r w:rsidRPr="001404C0">
        <w:rPr>
          <w:color w:val="000000" w:themeColor="text1"/>
          <w:lang w:val="en-GB"/>
        </w:rPr>
        <w:t xml:space="preserve">algebra, the key change </w:t>
      </w:r>
      <w:r w:rsidR="00244A8C" w:rsidRPr="001404C0">
        <w:rPr>
          <w:color w:val="000000" w:themeColor="text1"/>
          <w:lang w:val="en-GB"/>
        </w:rPr>
        <w:t xml:space="preserve">required </w:t>
      </w:r>
      <w:r w:rsidR="00244A8C">
        <w:rPr>
          <w:color w:val="000000" w:themeColor="text1"/>
          <w:lang w:val="en-GB"/>
        </w:rPr>
        <w:t xml:space="preserve">in students’ discourse </w:t>
      </w:r>
      <w:r w:rsidRPr="001404C0">
        <w:rPr>
          <w:color w:val="000000" w:themeColor="text1"/>
          <w:lang w:val="en-GB"/>
        </w:rPr>
        <w:t xml:space="preserve">is a shift from arithmetic discourse, which deals with specific numbers, to discourse that deals with generalized (non-specific) numbers. Therefore, </w:t>
      </w:r>
      <w:r w:rsidR="00C605D9" w:rsidRPr="001404C0">
        <w:rPr>
          <w:color w:val="000000" w:themeColor="text1"/>
          <w:lang w:val="en-GB"/>
        </w:rPr>
        <w:t>to</w:t>
      </w:r>
      <w:r w:rsidRPr="001404C0">
        <w:rPr>
          <w:color w:val="000000" w:themeColor="text1"/>
          <w:lang w:val="en-GB"/>
        </w:rPr>
        <w:t xml:space="preserve"> characterize the degree of objectification in algebraic discourse, we ask: </w:t>
      </w:r>
      <w:r w:rsidRPr="00693162">
        <w:rPr>
          <w:i/>
          <w:iCs/>
          <w:color w:val="000000" w:themeColor="text1"/>
          <w:lang w:val="en-GB"/>
        </w:rPr>
        <w:t xml:space="preserve">To what extent do students’ </w:t>
      </w:r>
      <w:r w:rsidR="008C681C" w:rsidRPr="00693162">
        <w:rPr>
          <w:i/>
          <w:iCs/>
          <w:color w:val="000000" w:themeColor="text1"/>
          <w:lang w:val="en-GB"/>
        </w:rPr>
        <w:t xml:space="preserve">implicit and explicit </w:t>
      </w:r>
      <w:r w:rsidRPr="00693162">
        <w:rPr>
          <w:i/>
          <w:iCs/>
          <w:color w:val="000000" w:themeColor="text1"/>
          <w:lang w:val="en-GB"/>
        </w:rPr>
        <w:t>stories in algebraic discourse revolve around generalized numbers?</w:t>
      </w:r>
    </w:p>
    <w:p w14:paraId="137BAE5C" w14:textId="77777777" w:rsidR="00D92B8B" w:rsidRPr="007307C0" w:rsidRDefault="00D92B8B" w:rsidP="009E4488">
      <w:pPr>
        <w:pStyle w:val="PMEHeading2"/>
        <w:rPr>
          <w:color w:val="000000" w:themeColor="text1"/>
          <w:lang w:val="en-GB"/>
        </w:rPr>
      </w:pPr>
      <w:r w:rsidRPr="007307C0">
        <w:rPr>
          <w:color w:val="000000" w:themeColor="text1"/>
          <w:lang w:val="en-GB"/>
        </w:rPr>
        <w:t>Research Methodology</w:t>
      </w:r>
    </w:p>
    <w:p w14:paraId="0ADCB7C6" w14:textId="7E3C7AE6" w:rsidR="00D92B8B" w:rsidRPr="007307C0" w:rsidRDefault="00D92B8B" w:rsidP="009E4488">
      <w:pPr>
        <w:pStyle w:val="PMENormal"/>
        <w:rPr>
          <w:lang w:val="en-GB"/>
        </w:rPr>
      </w:pPr>
      <w:r w:rsidRPr="007307C0">
        <w:rPr>
          <w:lang w:val="en-GB"/>
        </w:rPr>
        <w:t xml:space="preserve">The data are taken from a series of EADP (Early Algebraic Discourse Profile) interviews with 10 seventh grade students from different schools in Israel, and at different achievement levels. The EADP interview was conducted in a "think-aloud" format and contains 13 algebraic tasks taken from the seventh grade </w:t>
      </w:r>
      <w:r w:rsidR="009E4488">
        <w:rPr>
          <w:lang w:val="en-GB"/>
        </w:rPr>
        <w:t>Ministry of Education</w:t>
      </w:r>
      <w:r w:rsidRPr="007307C0">
        <w:rPr>
          <w:lang w:val="en-GB"/>
        </w:rPr>
        <w:t xml:space="preserve"> exams and from </w:t>
      </w:r>
      <w:r w:rsidR="009E4488">
        <w:rPr>
          <w:lang w:val="en-GB"/>
        </w:rPr>
        <w:t>Caspi</w:t>
      </w:r>
      <w:r w:rsidRPr="007307C0">
        <w:rPr>
          <w:lang w:val="en-GB"/>
        </w:rPr>
        <w:t xml:space="preserve"> (2014). To demonstrate the analysis method we developed, we focus on one of the questions - the "I thought of a number" problem:</w:t>
      </w:r>
    </w:p>
    <w:p w14:paraId="5082CAD2" w14:textId="330DE40D" w:rsidR="00D92B8B" w:rsidRPr="00F30519" w:rsidRDefault="00D92B8B" w:rsidP="009E4488">
      <w:pPr>
        <w:pStyle w:val="PMENormal"/>
        <w:rPr>
          <w:i/>
          <w:iCs/>
          <w:lang w:val="en-GB"/>
        </w:rPr>
      </w:pPr>
      <w:r w:rsidRPr="00F30519">
        <w:rPr>
          <w:i/>
          <w:iCs/>
          <w:lang w:val="en-GB"/>
        </w:rPr>
        <w:t xml:space="preserve">I thought of a </w:t>
      </w:r>
      <w:r w:rsidR="009E4488" w:rsidRPr="00F30519">
        <w:rPr>
          <w:i/>
          <w:iCs/>
          <w:lang w:val="en-GB"/>
        </w:rPr>
        <w:t>specific</w:t>
      </w:r>
      <w:r w:rsidRPr="00F30519">
        <w:rPr>
          <w:i/>
          <w:iCs/>
          <w:lang w:val="en-GB"/>
        </w:rPr>
        <w:t xml:space="preserve"> number. If I multiply it by seven and subtract from the product</w:t>
      </w:r>
      <w:r w:rsidR="003A1735">
        <w:rPr>
          <w:i/>
          <w:iCs/>
          <w:lang w:val="en-GB"/>
        </w:rPr>
        <w:t xml:space="preserve"> </w:t>
      </w:r>
      <w:r w:rsidR="00714742">
        <w:rPr>
          <w:i/>
          <w:iCs/>
          <w:lang w:val="en-GB"/>
        </w:rPr>
        <w:t>fifty-four</w:t>
      </w:r>
      <w:r w:rsidRPr="00F30519">
        <w:rPr>
          <w:i/>
          <w:iCs/>
          <w:lang w:val="en-GB"/>
        </w:rPr>
        <w:t>, I will get the number I was thinking of. What is the number I was thinking of? Explain how you solved it.</w:t>
      </w:r>
    </w:p>
    <w:p w14:paraId="44ABB45A" w14:textId="633158E5" w:rsidR="00D92B8B" w:rsidRPr="007307C0" w:rsidRDefault="00F55766" w:rsidP="00384387">
      <w:pPr>
        <w:pStyle w:val="PMENormal"/>
        <w:rPr>
          <w:lang w:val="en-GB"/>
        </w:rPr>
      </w:pPr>
      <w:r>
        <w:rPr>
          <w:lang w:val="en-GB"/>
        </w:rPr>
        <w:lastRenderedPageBreak/>
        <w:t>We should emphasize that the problem is communicated within the meta-arithmetic discourse and is telling a story about a generalized unknown number</w:t>
      </w:r>
      <w:r w:rsidR="006245EB">
        <w:rPr>
          <w:lang w:val="en-GB"/>
        </w:rPr>
        <w:t xml:space="preserve"> (“I thought of a specific number” and “the number I was thinking of”)</w:t>
      </w:r>
      <w:r>
        <w:rPr>
          <w:lang w:val="en-GB"/>
        </w:rPr>
        <w:t xml:space="preserve">.  </w:t>
      </w:r>
      <w:r w:rsidR="00D92B8B" w:rsidRPr="007307C0">
        <w:rPr>
          <w:lang w:val="en-GB"/>
        </w:rPr>
        <w:t xml:space="preserve">The interviews were </w:t>
      </w:r>
      <w:r w:rsidR="00D006B1">
        <w:rPr>
          <w:lang w:val="en-GB"/>
        </w:rPr>
        <w:t>video recorded</w:t>
      </w:r>
      <w:r w:rsidR="00D92B8B" w:rsidRPr="007307C0">
        <w:rPr>
          <w:lang w:val="en-GB"/>
        </w:rPr>
        <w:t xml:space="preserve"> using two cameras, one recording the writing and the other the student's </w:t>
      </w:r>
      <w:r w:rsidR="009E4488" w:rsidRPr="007307C0">
        <w:rPr>
          <w:lang w:val="en-GB"/>
        </w:rPr>
        <w:t>face and</w:t>
      </w:r>
      <w:r w:rsidR="00D92B8B" w:rsidRPr="007307C0">
        <w:rPr>
          <w:lang w:val="en-GB"/>
        </w:rPr>
        <w:t xml:space="preserve"> were</w:t>
      </w:r>
      <w:r w:rsidR="00B33F72">
        <w:rPr>
          <w:lang w:val="en-GB"/>
        </w:rPr>
        <w:t xml:space="preserve"> fully</w:t>
      </w:r>
      <w:r w:rsidR="00D92B8B" w:rsidRPr="007307C0">
        <w:rPr>
          <w:lang w:val="en-GB"/>
        </w:rPr>
        <w:t xml:space="preserve"> transcribed. </w:t>
      </w:r>
      <w:r w:rsidR="00F30519">
        <w:rPr>
          <w:lang w:val="en-GB"/>
        </w:rPr>
        <w:t>To</w:t>
      </w:r>
      <w:r w:rsidR="00D92B8B" w:rsidRPr="007307C0">
        <w:rPr>
          <w:lang w:val="en-GB"/>
        </w:rPr>
        <w:t xml:space="preserve"> demonstrate the differential </w:t>
      </w:r>
      <w:r w:rsidR="00FC1596">
        <w:rPr>
          <w:lang w:val="en-GB"/>
        </w:rPr>
        <w:t>sensitivity</w:t>
      </w:r>
      <w:r w:rsidR="00FC1596" w:rsidRPr="007307C0">
        <w:rPr>
          <w:lang w:val="en-GB"/>
        </w:rPr>
        <w:t xml:space="preserve"> </w:t>
      </w:r>
      <w:r w:rsidR="00D92B8B" w:rsidRPr="007307C0">
        <w:rPr>
          <w:lang w:val="en-GB"/>
        </w:rPr>
        <w:t>of the analy</w:t>
      </w:r>
      <w:r w:rsidR="00FC1596">
        <w:rPr>
          <w:lang w:val="en-GB"/>
        </w:rPr>
        <w:t>tical</w:t>
      </w:r>
      <w:r w:rsidR="00D92B8B" w:rsidRPr="007307C0">
        <w:rPr>
          <w:lang w:val="en-GB"/>
        </w:rPr>
        <w:t xml:space="preserve"> method, </w:t>
      </w:r>
      <w:r w:rsidR="009B1F89">
        <w:rPr>
          <w:lang w:val="en-GB"/>
        </w:rPr>
        <w:t xml:space="preserve">five </w:t>
      </w:r>
      <w:r w:rsidR="00D92B8B" w:rsidRPr="007307C0">
        <w:rPr>
          <w:lang w:val="en-GB"/>
        </w:rPr>
        <w:t>students were selected (Liat, Gil</w:t>
      </w:r>
      <w:r w:rsidR="009B1F89">
        <w:rPr>
          <w:lang w:val="en-GB"/>
        </w:rPr>
        <w:t xml:space="preserve">, </w:t>
      </w:r>
      <w:r w:rsidR="00D92B8B" w:rsidRPr="007307C0">
        <w:rPr>
          <w:lang w:val="en-GB"/>
        </w:rPr>
        <w:t>Tom</w:t>
      </w:r>
      <w:r w:rsidR="009B1F89">
        <w:rPr>
          <w:lang w:val="en-GB"/>
        </w:rPr>
        <w:t>, Mika and Alon</w:t>
      </w:r>
      <w:r w:rsidR="00D92B8B" w:rsidRPr="007307C0">
        <w:rPr>
          <w:lang w:val="en-GB"/>
        </w:rPr>
        <w:t xml:space="preserve"> – pseudonyms) but each of them used a different procedure</w:t>
      </w:r>
      <w:r w:rsidR="006245EB">
        <w:rPr>
          <w:lang w:val="en-GB"/>
        </w:rPr>
        <w:t xml:space="preserve"> and not all of which were canonical in the algebraic discourse</w:t>
      </w:r>
      <w:r w:rsidR="00D92B8B" w:rsidRPr="007307C0">
        <w:rPr>
          <w:lang w:val="en-GB"/>
        </w:rPr>
        <w:t>.</w:t>
      </w:r>
      <w:r w:rsidR="00F30519">
        <w:rPr>
          <w:lang w:val="en-GB"/>
        </w:rPr>
        <w:t xml:space="preserve"> The analysis includes two stages, the first, detecting narratives in the students’ discourse, and the second, detecting the subject of each narrative</w:t>
      </w:r>
      <w:r w:rsidR="008C681C">
        <w:rPr>
          <w:lang w:val="en-GB"/>
        </w:rPr>
        <w:t>, deciding whether it is a signifier of a mathematical object and if so</w:t>
      </w:r>
      <w:r w:rsidR="00D006B1">
        <w:rPr>
          <w:lang w:val="en-GB"/>
        </w:rPr>
        <w:t>,</w:t>
      </w:r>
      <w:r w:rsidR="008C681C">
        <w:rPr>
          <w:lang w:val="en-GB"/>
        </w:rPr>
        <w:t xml:space="preserve"> is it a generalised number.</w:t>
      </w:r>
      <w:r w:rsidR="00930F55">
        <w:rPr>
          <w:lang w:val="en-GB"/>
        </w:rPr>
        <w:t xml:space="preserve"> The narratives are sort</w:t>
      </w:r>
      <w:r w:rsidR="00A37330">
        <w:rPr>
          <w:lang w:val="en-GB"/>
        </w:rPr>
        <w:t>ed</w:t>
      </w:r>
      <w:r w:rsidR="00930F55">
        <w:rPr>
          <w:lang w:val="en-GB"/>
        </w:rPr>
        <w:t xml:space="preserve"> into three categories </w:t>
      </w:r>
      <w:r w:rsidR="00833480">
        <w:rPr>
          <w:lang w:val="en-GB"/>
        </w:rPr>
        <w:t>according to</w:t>
      </w:r>
      <w:r w:rsidR="00930F55">
        <w:rPr>
          <w:lang w:val="en-GB"/>
        </w:rPr>
        <w:t xml:space="preserve"> the mathematical object they are about: specific numbers, verbally generalized numbers, </w:t>
      </w:r>
      <w:r w:rsidR="00A37330">
        <w:rPr>
          <w:lang w:val="en-GB"/>
        </w:rPr>
        <w:t xml:space="preserve">and </w:t>
      </w:r>
      <w:r w:rsidR="00930F55">
        <w:rPr>
          <w:lang w:val="en-GB"/>
        </w:rPr>
        <w:t>symbolically</w:t>
      </w:r>
      <w:r w:rsidR="00A37330">
        <w:rPr>
          <w:lang w:val="en-GB"/>
        </w:rPr>
        <w:t xml:space="preserve"> mediated</w:t>
      </w:r>
      <w:r w:rsidR="00930F55">
        <w:rPr>
          <w:lang w:val="en-GB"/>
        </w:rPr>
        <w:t xml:space="preserve"> generalized numbers. Each narrative is marked as explicit </w:t>
      </w:r>
      <w:r w:rsidR="00A37330">
        <w:rPr>
          <w:lang w:val="en-GB"/>
        </w:rPr>
        <w:t xml:space="preserve">if it was talked about directly </w:t>
      </w:r>
      <w:r w:rsidR="00930F55">
        <w:rPr>
          <w:lang w:val="en-GB"/>
        </w:rPr>
        <w:t>or implicit</w:t>
      </w:r>
      <w:r w:rsidR="00A37330">
        <w:rPr>
          <w:lang w:val="en-GB"/>
        </w:rPr>
        <w:t xml:space="preserve"> if it was only implied by the student’s descriptions of his or her procedures</w:t>
      </w:r>
      <w:r w:rsidR="00930F55">
        <w:rPr>
          <w:lang w:val="en-GB"/>
        </w:rPr>
        <w:t>.</w:t>
      </w:r>
      <w:r w:rsidR="00384387">
        <w:rPr>
          <w:lang w:val="en-GB"/>
        </w:rPr>
        <w:t xml:space="preserve"> </w:t>
      </w:r>
    </w:p>
    <w:p w14:paraId="0A32C747" w14:textId="77777777" w:rsidR="00D92B8B" w:rsidRPr="007307C0" w:rsidRDefault="00D92B8B" w:rsidP="00B33F72">
      <w:pPr>
        <w:pStyle w:val="PMEHeading2"/>
        <w:rPr>
          <w:color w:val="000000" w:themeColor="text1"/>
          <w:lang w:val="en-GB"/>
        </w:rPr>
      </w:pPr>
      <w:r w:rsidRPr="007307C0">
        <w:rPr>
          <w:color w:val="000000" w:themeColor="text1"/>
          <w:lang w:val="en-GB"/>
        </w:rPr>
        <w:t>Findings</w:t>
      </w:r>
    </w:p>
    <w:p w14:paraId="447A688B" w14:textId="1B19CEEC" w:rsidR="004D7545" w:rsidRDefault="00D92B8B" w:rsidP="00FC6436">
      <w:pPr>
        <w:pStyle w:val="PMENormal"/>
        <w:rPr>
          <w:lang w:val="en-GB"/>
        </w:rPr>
      </w:pPr>
      <w:r w:rsidRPr="00FC6436">
        <w:rPr>
          <w:lang w:val="en-GB"/>
        </w:rPr>
        <w:t xml:space="preserve">The analysis focuses on the solutions of </w:t>
      </w:r>
      <w:r w:rsidR="004D7545">
        <w:rPr>
          <w:lang w:val="en-GB"/>
        </w:rPr>
        <w:t>five</w:t>
      </w:r>
      <w:r w:rsidRPr="00FC6436">
        <w:rPr>
          <w:lang w:val="en-GB"/>
        </w:rPr>
        <w:t xml:space="preserve"> students</w:t>
      </w:r>
      <w:r w:rsidR="006245EB">
        <w:rPr>
          <w:lang w:val="en-GB"/>
        </w:rPr>
        <w:t>,</w:t>
      </w:r>
      <w:r w:rsidR="00556562">
        <w:rPr>
          <w:lang w:val="en-GB"/>
        </w:rPr>
        <w:t xml:space="preserve"> </w:t>
      </w:r>
      <w:r w:rsidR="004D7545">
        <w:rPr>
          <w:lang w:val="en-US"/>
        </w:rPr>
        <w:t xml:space="preserve">four of which </w:t>
      </w:r>
      <w:r w:rsidR="00556562">
        <w:rPr>
          <w:lang w:val="en-GB"/>
        </w:rPr>
        <w:t>produced non-canonical algebraic procedures</w:t>
      </w:r>
      <w:r w:rsidRPr="00FC6436">
        <w:rPr>
          <w:lang w:val="en-GB"/>
        </w:rPr>
        <w:t xml:space="preserve">: </w:t>
      </w:r>
      <w:r w:rsidR="00637C8A" w:rsidRPr="004D7545">
        <w:rPr>
          <w:b/>
          <w:bCs/>
          <w:lang w:val="en-GB"/>
        </w:rPr>
        <w:t>Mika</w:t>
      </w:r>
      <w:r w:rsidR="00637C8A">
        <w:rPr>
          <w:b/>
          <w:bCs/>
          <w:lang w:val="en-GB"/>
        </w:rPr>
        <w:t xml:space="preserve"> </w:t>
      </w:r>
      <w:r w:rsidR="00637C8A" w:rsidRPr="0070103B">
        <w:rPr>
          <w:lang w:val="en-GB"/>
        </w:rPr>
        <w:t>focused solely</w:t>
      </w:r>
      <w:r w:rsidR="00637C8A">
        <w:rPr>
          <w:lang w:val="en-GB"/>
        </w:rPr>
        <w:t xml:space="preserve"> on a trial-and-error procedure and found that the solution is the number nine. </w:t>
      </w:r>
      <w:r w:rsidRPr="00556562">
        <w:rPr>
          <w:b/>
          <w:bCs/>
          <w:lang w:val="en-GB"/>
        </w:rPr>
        <w:t xml:space="preserve">Liat </w:t>
      </w:r>
      <w:r w:rsidRPr="00FC6436">
        <w:rPr>
          <w:lang w:val="en-GB"/>
        </w:rPr>
        <w:t xml:space="preserve">declared at the beginning of the solution that she could solve the problem “in two ways”. She then tried to construct an algebraic </w:t>
      </w:r>
      <w:r w:rsidR="00556562" w:rsidRPr="00FC6436">
        <w:rPr>
          <w:lang w:val="en-GB"/>
        </w:rPr>
        <w:t>expression but</w:t>
      </w:r>
      <w:r w:rsidRPr="00FC6436">
        <w:rPr>
          <w:lang w:val="en-GB"/>
        </w:rPr>
        <w:t xml:space="preserve"> was unable to create an equation. She tried using arithmetic calculations, but this procedure was also </w:t>
      </w:r>
      <w:r w:rsidR="00556562" w:rsidRPr="00FC6436">
        <w:rPr>
          <w:lang w:val="en-GB"/>
        </w:rPr>
        <w:t>unsuccessful,</w:t>
      </w:r>
      <w:r w:rsidRPr="00FC6436">
        <w:rPr>
          <w:lang w:val="en-GB"/>
        </w:rPr>
        <w:t xml:space="preserve"> and she gave up. </w:t>
      </w:r>
      <w:r w:rsidRPr="00556562">
        <w:rPr>
          <w:b/>
          <w:bCs/>
          <w:lang w:val="en-GB"/>
        </w:rPr>
        <w:t>Gil</w:t>
      </w:r>
      <w:r w:rsidRPr="00FC6436">
        <w:rPr>
          <w:lang w:val="en-GB"/>
        </w:rPr>
        <w:t xml:space="preserve"> also began solving the problem algebraically and, like Liat, encountered difficulty in creating an equation. However, when he reached a dead end with the equation, he switched to a trial</w:t>
      </w:r>
      <w:r w:rsidR="0070103B">
        <w:rPr>
          <w:lang w:val="en-GB"/>
        </w:rPr>
        <w:t>-</w:t>
      </w:r>
      <w:r w:rsidRPr="00FC6436">
        <w:rPr>
          <w:lang w:val="en-GB"/>
        </w:rPr>
        <w:t>and</w:t>
      </w:r>
      <w:r w:rsidR="0070103B">
        <w:rPr>
          <w:lang w:val="en-GB"/>
        </w:rPr>
        <w:t>-</w:t>
      </w:r>
      <w:r w:rsidRPr="00FC6436">
        <w:rPr>
          <w:lang w:val="en-GB"/>
        </w:rPr>
        <w:t>error procedure and</w:t>
      </w:r>
      <w:r w:rsidR="00637C8A">
        <w:rPr>
          <w:lang w:val="en-GB"/>
        </w:rPr>
        <w:t xml:space="preserve"> like Mika,</w:t>
      </w:r>
      <w:r w:rsidRPr="00FC6436">
        <w:rPr>
          <w:lang w:val="en-GB"/>
        </w:rPr>
        <w:t xml:space="preserve"> found that the number was </w:t>
      </w:r>
      <w:r w:rsidR="0070103B">
        <w:rPr>
          <w:lang w:val="en-GB"/>
        </w:rPr>
        <w:t>nine</w:t>
      </w:r>
      <w:r w:rsidRPr="00FC6436">
        <w:rPr>
          <w:lang w:val="en-GB"/>
        </w:rPr>
        <w:t xml:space="preserve">. </w:t>
      </w:r>
      <w:r w:rsidRPr="00556562">
        <w:rPr>
          <w:b/>
          <w:bCs/>
          <w:lang w:val="en-GB"/>
        </w:rPr>
        <w:t>Tom</w:t>
      </w:r>
      <w:r w:rsidRPr="00FC6436">
        <w:rPr>
          <w:lang w:val="en-GB"/>
        </w:rPr>
        <w:t xml:space="preserve"> began by declaring that he had no idea how to solve the problem, but with the interviewer’s encouragement, he created an equation. However, the equation was not canonical and the operations on it were not canonical, so he was unable to reach a solution.</w:t>
      </w:r>
      <w:r w:rsidR="004D7545">
        <w:rPr>
          <w:lang w:val="en-GB"/>
        </w:rPr>
        <w:t xml:space="preserve"> </w:t>
      </w:r>
      <w:r w:rsidR="0070103B">
        <w:rPr>
          <w:lang w:val="en-GB"/>
        </w:rPr>
        <w:t xml:space="preserve">Finally, </w:t>
      </w:r>
      <w:r w:rsidR="0070103B" w:rsidRPr="0070103B">
        <w:rPr>
          <w:b/>
          <w:bCs/>
          <w:lang w:val="en-GB"/>
        </w:rPr>
        <w:t>Alon</w:t>
      </w:r>
      <w:r w:rsidR="0070103B">
        <w:rPr>
          <w:lang w:val="en-GB"/>
        </w:rPr>
        <w:t xml:space="preserve">, </w:t>
      </w:r>
      <w:r w:rsidR="00637C8A">
        <w:rPr>
          <w:lang w:val="en-GB"/>
        </w:rPr>
        <w:t xml:space="preserve">is </w:t>
      </w:r>
      <w:r w:rsidR="0070103B">
        <w:rPr>
          <w:lang w:val="en-GB"/>
        </w:rPr>
        <w:t xml:space="preserve">the fifth student </w:t>
      </w:r>
      <w:r w:rsidR="00833480">
        <w:rPr>
          <w:lang w:val="en-GB"/>
        </w:rPr>
        <w:t xml:space="preserve">and the only one </w:t>
      </w:r>
      <w:r w:rsidR="0070103B">
        <w:rPr>
          <w:lang w:val="en-GB"/>
        </w:rPr>
        <w:t>that formed an equation and solved it canonically.</w:t>
      </w:r>
    </w:p>
    <w:p w14:paraId="59139574" w14:textId="3F2C45BD" w:rsidR="00D92B8B" w:rsidRPr="00FC6436" w:rsidRDefault="00D92B8B" w:rsidP="00FC6436">
      <w:pPr>
        <w:pStyle w:val="PMENormal"/>
        <w:rPr>
          <w:lang w:val="en-GB"/>
        </w:rPr>
      </w:pPr>
      <w:r w:rsidRPr="00FC6436">
        <w:rPr>
          <w:lang w:val="en-GB"/>
        </w:rPr>
        <w:t xml:space="preserve">Below is an analysis of the </w:t>
      </w:r>
      <w:r w:rsidR="008E0BC1">
        <w:rPr>
          <w:lang w:val="en-US" w:bidi="he-IL"/>
        </w:rPr>
        <w:t>the five student</w:t>
      </w:r>
      <w:r w:rsidRPr="00FC6436">
        <w:rPr>
          <w:lang w:val="en-GB"/>
        </w:rPr>
        <w:t>s</w:t>
      </w:r>
      <w:r w:rsidR="008E0BC1">
        <w:rPr>
          <w:lang w:val="en-GB"/>
        </w:rPr>
        <w:t>’</w:t>
      </w:r>
      <w:r w:rsidRPr="00FC6436">
        <w:rPr>
          <w:lang w:val="en-GB"/>
        </w:rPr>
        <w:t xml:space="preserve"> solutions according to t</w:t>
      </w:r>
      <w:r w:rsidR="00556562">
        <w:rPr>
          <w:lang w:val="en-GB"/>
        </w:rPr>
        <w:t xml:space="preserve">he </w:t>
      </w:r>
      <w:r w:rsidR="00833480">
        <w:rPr>
          <w:lang w:val="en-GB"/>
        </w:rPr>
        <w:t xml:space="preserve">explicitness of their narratives and the </w:t>
      </w:r>
      <w:r w:rsidR="00556562">
        <w:rPr>
          <w:lang w:val="en-GB"/>
        </w:rPr>
        <w:t xml:space="preserve">objects </w:t>
      </w:r>
      <w:r w:rsidR="00833480">
        <w:rPr>
          <w:lang w:val="en-GB"/>
        </w:rPr>
        <w:t>they</w:t>
      </w:r>
      <w:r w:rsidR="00556562">
        <w:rPr>
          <w:lang w:val="en-GB"/>
        </w:rPr>
        <w:t xml:space="preserve"> revolve around</w:t>
      </w:r>
      <w:r w:rsidRPr="00FC6436">
        <w:rPr>
          <w:lang w:val="en-GB"/>
        </w:rPr>
        <w:t>.</w:t>
      </w:r>
    </w:p>
    <w:p w14:paraId="551427EA" w14:textId="31DCA867" w:rsidR="00637C8A" w:rsidRDefault="00833480" w:rsidP="00637C8A">
      <w:pPr>
        <w:pStyle w:val="PMENormal"/>
        <w:rPr>
          <w:lang w:val="en-GB"/>
        </w:rPr>
      </w:pPr>
      <w:r>
        <w:rPr>
          <w:lang w:val="en-GB"/>
        </w:rPr>
        <w:t xml:space="preserve">In Mika’s discourse we found mostly narratives about specific numbers, yet we also found an implicit narrative about a generalize number. </w:t>
      </w:r>
      <w:r w:rsidR="00637C8A">
        <w:rPr>
          <w:lang w:val="en-GB"/>
        </w:rPr>
        <w:t xml:space="preserve">Mika’s solution is based solely on performing procedures on specific numbers. </w:t>
      </w:r>
      <w:r w:rsidR="00ED2190">
        <w:rPr>
          <w:lang w:val="en-GB"/>
        </w:rPr>
        <w:t>She starts her solution with:</w:t>
      </w:r>
    </w:p>
    <w:p w14:paraId="014C1866" w14:textId="784902A2" w:rsidR="00637C8A" w:rsidRDefault="00637C8A" w:rsidP="00637C8A">
      <w:pPr>
        <w:pStyle w:val="PMENumberedtranscript"/>
        <w:rPr>
          <w:lang w:val="en-US" w:bidi="he-IL"/>
        </w:rPr>
      </w:pPr>
      <w:r>
        <w:rPr>
          <w:lang w:val="en-US" w:bidi="he-IL"/>
        </w:rPr>
        <w:t>237</w:t>
      </w:r>
      <w:r>
        <w:rPr>
          <w:lang w:val="en-US" w:bidi="he-IL"/>
        </w:rPr>
        <w:tab/>
        <w:t>Mika:</w:t>
      </w:r>
      <w:r>
        <w:rPr>
          <w:lang w:val="en-US" w:bidi="he-IL"/>
        </w:rPr>
        <w:tab/>
        <w:t>…say, well, I think about, say, (the number) two, I multiply it by seven, no, it doesn’t make sense, because it doesn’t get the…say I think of (the number) ten…no, this also doesn’t make sense, because if I think of ten…</w:t>
      </w:r>
      <w:r w:rsidR="00ED2190">
        <w:rPr>
          <w:lang w:val="en-US" w:bidi="he-IL"/>
        </w:rPr>
        <w:t xml:space="preserve"> If I multiply by seven it equals seventy but, like, fifty-four minus seventy I already know by heart it cannot be two (</w:t>
      </w:r>
      <w:r w:rsidR="00ED2190">
        <w:rPr>
          <w:i/>
          <w:iCs/>
          <w:lang w:val="en-US" w:bidi="he-IL"/>
        </w:rPr>
        <w:t xml:space="preserve">corrects to “ten” after interviewer </w:t>
      </w:r>
      <w:r w:rsidR="004E69D0">
        <w:rPr>
          <w:i/>
          <w:iCs/>
          <w:lang w:val="en-US" w:bidi="he-IL"/>
        </w:rPr>
        <w:t>asks,</w:t>
      </w:r>
      <w:r w:rsidR="00ED2190">
        <w:rPr>
          <w:i/>
          <w:iCs/>
          <w:lang w:val="en-US" w:bidi="he-IL"/>
        </w:rPr>
        <w:t xml:space="preserve"> “why two?”)</w:t>
      </w:r>
      <w:r w:rsidR="00ED2190">
        <w:rPr>
          <w:lang w:val="en-US" w:bidi="he-IL"/>
        </w:rPr>
        <w:t>.</w:t>
      </w:r>
    </w:p>
    <w:p w14:paraId="47D47C1F" w14:textId="2EC46133" w:rsidR="00ED2190" w:rsidRDefault="00637C8A" w:rsidP="00637C8A">
      <w:pPr>
        <w:pStyle w:val="PMENormal"/>
        <w:rPr>
          <w:lang w:val="en-US" w:bidi="he-IL"/>
        </w:rPr>
      </w:pPr>
      <w:r>
        <w:rPr>
          <w:lang w:val="en-US" w:bidi="he-IL"/>
        </w:rPr>
        <w:lastRenderedPageBreak/>
        <w:t>Mika clearly performs a procedure of trial and error by substituting the sequence of whole numbers: two</w:t>
      </w:r>
      <w:r w:rsidR="00ED2190">
        <w:rPr>
          <w:lang w:val="en-US" w:bidi="he-IL"/>
        </w:rPr>
        <w:t xml:space="preserve"> and</w:t>
      </w:r>
      <w:r>
        <w:rPr>
          <w:lang w:val="en-US" w:bidi="he-IL"/>
        </w:rPr>
        <w:t xml:space="preserve"> ten</w:t>
      </w:r>
      <w:r w:rsidR="00ED2190">
        <w:rPr>
          <w:lang w:val="en-US" w:bidi="he-IL"/>
        </w:rPr>
        <w:t>. Later she tries</w:t>
      </w:r>
      <w:r>
        <w:rPr>
          <w:lang w:val="en-US" w:bidi="he-IL"/>
        </w:rPr>
        <w:t xml:space="preserve"> five and then nine</w:t>
      </w:r>
      <w:r w:rsidR="00ED2190">
        <w:rPr>
          <w:lang w:val="en-US" w:bidi="he-IL"/>
        </w:rPr>
        <w:t>, which leads her to concluding the number is nine</w:t>
      </w:r>
      <w:r>
        <w:rPr>
          <w:lang w:val="en-US" w:bidi="he-IL"/>
        </w:rPr>
        <w:t xml:space="preserve">. </w:t>
      </w:r>
    </w:p>
    <w:p w14:paraId="68FFB6FD" w14:textId="3F1B9BF7" w:rsidR="00637C8A" w:rsidRDefault="00ED2190" w:rsidP="006F76FB">
      <w:pPr>
        <w:pStyle w:val="PMENormal"/>
        <w:rPr>
          <w:lang w:val="en-US" w:bidi="he-IL"/>
        </w:rPr>
      </w:pPr>
      <w:r>
        <w:rPr>
          <w:lang w:val="en-US" w:bidi="he-IL"/>
        </w:rPr>
        <w:t xml:space="preserve">Although Mika’s procedures involve only </w:t>
      </w:r>
      <w:r w:rsidR="006F76FB">
        <w:rPr>
          <w:lang w:val="en-US" w:bidi="he-IL"/>
        </w:rPr>
        <w:t xml:space="preserve">specific numbers, her usage of a series of these numbers </w:t>
      </w:r>
      <w:r w:rsidR="00637C8A">
        <w:rPr>
          <w:lang w:val="en-US" w:bidi="he-IL"/>
        </w:rPr>
        <w:t>implies that</w:t>
      </w:r>
      <w:r w:rsidR="006F76FB">
        <w:rPr>
          <w:lang w:val="en-US" w:bidi="he-IL"/>
        </w:rPr>
        <w:t xml:space="preserve"> she interprets</w:t>
      </w:r>
      <w:r w:rsidR="00637C8A">
        <w:rPr>
          <w:lang w:val="en-US" w:bidi="he-IL"/>
        </w:rPr>
        <w:t xml:space="preserve"> “the number I thought of” </w:t>
      </w:r>
      <w:r w:rsidR="006F76FB">
        <w:rPr>
          <w:lang w:val="en-US" w:bidi="he-IL"/>
        </w:rPr>
        <w:t>appearing</w:t>
      </w:r>
      <w:r w:rsidR="00637C8A">
        <w:rPr>
          <w:lang w:val="en-US" w:bidi="he-IL"/>
        </w:rPr>
        <w:t xml:space="preserve"> in the problem</w:t>
      </w:r>
      <w:r w:rsidR="006F76FB">
        <w:rPr>
          <w:lang w:val="en-US" w:bidi="he-IL"/>
        </w:rPr>
        <w:t>’s text</w:t>
      </w:r>
      <w:r w:rsidR="00637C8A">
        <w:rPr>
          <w:lang w:val="en-US" w:bidi="he-IL"/>
        </w:rPr>
        <w:t xml:space="preserve">, </w:t>
      </w:r>
      <w:r w:rsidR="006F76FB">
        <w:rPr>
          <w:lang w:val="en-US" w:bidi="he-IL"/>
        </w:rPr>
        <w:t>as</w:t>
      </w:r>
      <w:r w:rsidR="00637C8A">
        <w:rPr>
          <w:lang w:val="en-US" w:bidi="he-IL"/>
        </w:rPr>
        <w:t xml:space="preserve"> any number, and therefore, a generalized number.  </w:t>
      </w:r>
    </w:p>
    <w:p w14:paraId="5F5978DA" w14:textId="4E80F004" w:rsidR="00D92B8B" w:rsidRDefault="008E0BC1" w:rsidP="001C1752">
      <w:pPr>
        <w:pStyle w:val="PMENormal"/>
        <w:rPr>
          <w:lang w:val="en-GB"/>
        </w:rPr>
      </w:pPr>
      <w:r w:rsidRPr="000F79E9">
        <w:rPr>
          <w:rFonts w:ascii="Calibri" w:eastAsia="Calibri" w:hAnsi="Calibri" w:cs="Calibri"/>
          <w:noProof/>
          <w:lang w:val="en-US"/>
        </w:rPr>
        <w:drawing>
          <wp:anchor distT="0" distB="0" distL="114300" distR="114300" simplePos="0" relativeHeight="251658240" behindDoc="1" locked="1" layoutInCell="1" allowOverlap="1" wp14:anchorId="390E2B8B" wp14:editId="75C5FA7E">
            <wp:simplePos x="0" y="0"/>
            <wp:positionH relativeFrom="column">
              <wp:posOffset>5493385</wp:posOffset>
            </wp:positionH>
            <wp:positionV relativeFrom="paragraph">
              <wp:posOffset>453390</wp:posOffset>
            </wp:positionV>
            <wp:extent cx="590400" cy="219600"/>
            <wp:effectExtent l="12700" t="12700" r="6985" b="9525"/>
            <wp:wrapTight wrapText="bothSides">
              <wp:wrapPolygon edited="0">
                <wp:start x="-465" y="-1252"/>
                <wp:lineTo x="-465" y="21287"/>
                <wp:lineTo x="21391" y="21287"/>
                <wp:lineTo x="21391" y="-1252"/>
                <wp:lineTo x="-465" y="-1252"/>
              </wp:wrapPolygon>
            </wp:wrapTight>
            <wp:docPr id="1310973233" name="תמונה 2" descr="A black letter on a white background&#10;&#10;Description automatically generated">
              <a:extLst xmlns:a="http://schemas.openxmlformats.org/drawingml/2006/main">
                <a:ext uri="{FF2B5EF4-FFF2-40B4-BE49-F238E27FC236}">
                  <a16:creationId xmlns:a16="http://schemas.microsoft.com/office/drawing/2014/main" id="{698E6DFC-A766-205E-F260-1ADDA27893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73233" name="תמונה 2" descr="A black letter on a white background&#10;&#10;Description automatically generated">
                      <a:extLst>
                        <a:ext uri="{FF2B5EF4-FFF2-40B4-BE49-F238E27FC236}">
                          <a16:creationId xmlns:a16="http://schemas.microsoft.com/office/drawing/2014/main" id="{698E6DFC-A766-205E-F260-1ADDA27893E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400" cy="2196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92B8B" w:rsidRPr="001C1752">
        <w:rPr>
          <w:lang w:val="en-GB"/>
        </w:rPr>
        <w:t>In Liat's discourse, no narratives were found about generalized numbers, but only about specific numbers. For example, in the following passage:</w:t>
      </w:r>
    </w:p>
    <w:p w14:paraId="72B4417E" w14:textId="66B64917" w:rsidR="005653BA" w:rsidRPr="007307C0" w:rsidRDefault="005653BA" w:rsidP="005653BA">
      <w:pPr>
        <w:pStyle w:val="PMENumberedtranscript"/>
        <w:rPr>
          <w:lang w:val="en-GB"/>
        </w:rPr>
      </w:pPr>
      <w:r>
        <w:rPr>
          <w:lang w:val="en-GB"/>
        </w:rPr>
        <w:t>272</w:t>
      </w:r>
      <w:r w:rsidRPr="007307C0">
        <w:rPr>
          <w:lang w:val="en-GB"/>
        </w:rPr>
        <w:tab/>
      </w:r>
      <w:r>
        <w:rPr>
          <w:lang w:val="en-GB"/>
        </w:rPr>
        <w:t>Liat</w:t>
      </w:r>
      <w:r w:rsidRPr="007307C0">
        <w:rPr>
          <w:lang w:val="en-GB"/>
        </w:rPr>
        <w:t xml:space="preserve">: </w:t>
      </w:r>
      <w:r w:rsidRPr="007307C0">
        <w:rPr>
          <w:lang w:val="en-GB"/>
        </w:rPr>
        <w:tab/>
      </w:r>
      <w:r w:rsidRPr="007307C0">
        <w:rPr>
          <w:color w:val="000000" w:themeColor="text1"/>
          <w:lang w:val="en-GB"/>
        </w:rPr>
        <w:t xml:space="preserve">Umm... </w:t>
      </w:r>
      <w:r w:rsidR="0070103B">
        <w:rPr>
          <w:color w:val="000000" w:themeColor="text1"/>
          <w:lang w:val="en-GB"/>
        </w:rPr>
        <w:t>x</w:t>
      </w:r>
      <w:r w:rsidRPr="007307C0">
        <w:rPr>
          <w:color w:val="000000" w:themeColor="text1"/>
          <w:lang w:val="en-GB"/>
        </w:rPr>
        <w:t xml:space="preserve">, I can do </w:t>
      </w:r>
      <w:r>
        <w:rPr>
          <w:color w:val="000000" w:themeColor="text1"/>
          <w:lang w:val="en-GB"/>
        </w:rPr>
        <w:t xml:space="preserve">(it in) </w:t>
      </w:r>
      <w:r w:rsidRPr="007307C0">
        <w:rPr>
          <w:color w:val="000000" w:themeColor="text1"/>
          <w:lang w:val="en-GB"/>
        </w:rPr>
        <w:t xml:space="preserve">two ways, </w:t>
      </w:r>
      <w:r w:rsidR="0070103B">
        <w:rPr>
          <w:color w:val="000000" w:themeColor="text1"/>
          <w:lang w:val="en-GB"/>
        </w:rPr>
        <w:t>x</w:t>
      </w:r>
      <w:r w:rsidRPr="007307C0">
        <w:rPr>
          <w:color w:val="000000" w:themeColor="text1"/>
          <w:lang w:val="en-GB"/>
        </w:rPr>
        <w:t xml:space="preserve"> times seven equals... uh... to...something,</w:t>
      </w:r>
      <w:r w:rsidRPr="005653BA">
        <w:rPr>
          <w:rFonts w:ascii="Calibri" w:eastAsia="Calibri" w:hAnsi="Calibri" w:cs="Calibri"/>
          <w:noProof/>
          <w:lang w:val="en-US"/>
        </w:rPr>
        <w:t xml:space="preserve"> </w:t>
      </w:r>
    </w:p>
    <w:p w14:paraId="3555AFEF" w14:textId="1FDE0F74" w:rsidR="00D92B8B" w:rsidRPr="005653BA" w:rsidRDefault="00D92B8B" w:rsidP="00741696">
      <w:pPr>
        <w:pStyle w:val="PMENormal"/>
        <w:rPr>
          <w:lang w:val="en-GB"/>
        </w:rPr>
      </w:pPr>
      <w:r w:rsidRPr="005653BA">
        <w:rPr>
          <w:lang w:val="en-GB"/>
        </w:rPr>
        <w:t xml:space="preserve">In this </w:t>
      </w:r>
      <w:r w:rsidR="00A603D7">
        <w:rPr>
          <w:lang w:val="en-GB"/>
        </w:rPr>
        <w:t>excerpt</w:t>
      </w:r>
      <w:r w:rsidRPr="005653BA">
        <w:rPr>
          <w:lang w:val="en-GB"/>
        </w:rPr>
        <w:t xml:space="preserve">, </w:t>
      </w:r>
      <w:r w:rsidR="00A603D7" w:rsidRPr="005653BA">
        <w:rPr>
          <w:lang w:val="en-GB"/>
        </w:rPr>
        <w:t>although</w:t>
      </w:r>
      <w:r w:rsidRPr="005653BA">
        <w:rPr>
          <w:lang w:val="en-GB"/>
        </w:rPr>
        <w:t xml:space="preserve"> Liat writes a symbolic expression</w:t>
      </w:r>
      <w:r w:rsidR="00A603D7">
        <w:rPr>
          <w:lang w:val="en-GB"/>
        </w:rPr>
        <w:t xml:space="preserve"> (</w:t>
      </w:r>
      <m:oMath>
        <m:r>
          <w:rPr>
            <w:rFonts w:ascii="Cambria Math" w:hAnsi="Cambria Math"/>
            <w:lang w:val="en-GB"/>
          </w:rPr>
          <m:t>x∙7=</m:t>
        </m:r>
      </m:oMath>
      <w:r w:rsidR="00A603D7">
        <w:rPr>
          <w:lang w:val="en-GB"/>
        </w:rPr>
        <w:t>),</w:t>
      </w:r>
      <w:r w:rsidRPr="005653BA">
        <w:rPr>
          <w:lang w:val="en-GB"/>
        </w:rPr>
        <w:t xml:space="preserve"> the expression does not tell a story about </w:t>
      </w:r>
      <w:r w:rsidR="0070103B">
        <w:rPr>
          <w:lang w:val="en-GB"/>
        </w:rPr>
        <w:t xml:space="preserve">mathematical </w:t>
      </w:r>
      <w:r w:rsidRPr="005653BA">
        <w:rPr>
          <w:lang w:val="en-GB"/>
        </w:rPr>
        <w:t xml:space="preserve">objects. It </w:t>
      </w:r>
      <w:r w:rsidR="00A603D7" w:rsidRPr="005653BA">
        <w:rPr>
          <w:lang w:val="en-GB"/>
        </w:rPr>
        <w:t>talks</w:t>
      </w:r>
      <w:r w:rsidRPr="005653BA">
        <w:rPr>
          <w:lang w:val="en-GB"/>
        </w:rPr>
        <w:t xml:space="preserve"> </w:t>
      </w:r>
      <w:r w:rsidR="00F55766" w:rsidRPr="005653BA">
        <w:rPr>
          <w:lang w:val="en-GB"/>
        </w:rPr>
        <w:t xml:space="preserve">only </w:t>
      </w:r>
      <w:r w:rsidRPr="005653BA">
        <w:rPr>
          <w:lang w:val="en-GB"/>
        </w:rPr>
        <w:t>about actions that Liat can do.</w:t>
      </w:r>
      <w:r w:rsidR="006F76FB">
        <w:rPr>
          <w:lang w:val="en-GB"/>
        </w:rPr>
        <w:t xml:space="preserve"> After the symbolically mediated attempt does not lead Liat to a satisfactory description of the situation,</w:t>
      </w:r>
      <w:r w:rsidRPr="005653BA">
        <w:rPr>
          <w:lang w:val="en-GB"/>
        </w:rPr>
        <w:t xml:space="preserve"> Liat moves, without realizing it, to trying to solve a problem </w:t>
      </w:r>
      <w:proofErr w:type="gramStart"/>
      <w:r w:rsidRPr="005653BA">
        <w:rPr>
          <w:lang w:val="en-GB"/>
        </w:rPr>
        <w:t>similar to</w:t>
      </w:r>
      <w:proofErr w:type="gramEnd"/>
      <w:r w:rsidRPr="005653BA">
        <w:rPr>
          <w:lang w:val="en-GB"/>
        </w:rPr>
        <w:t xml:space="preserve"> the given problem in which the resulting number is not "the number I was thinking of" (a generalized number), but </w:t>
      </w:r>
      <w:r w:rsidR="00A603D7">
        <w:rPr>
          <w:lang w:val="en-GB"/>
        </w:rPr>
        <w:t xml:space="preserve">the number </w:t>
      </w:r>
      <w:r w:rsidRPr="005653BA">
        <w:rPr>
          <w:lang w:val="en-GB"/>
        </w:rPr>
        <w:t xml:space="preserve">seven. </w:t>
      </w:r>
      <w:r w:rsidR="006F76FB">
        <w:rPr>
          <w:lang w:val="en-GB"/>
        </w:rPr>
        <w:t xml:space="preserve">Such a problem would be indeed solvable using the reverse arithmetic operations. </w:t>
      </w:r>
      <w:r w:rsidRPr="005653BA">
        <w:rPr>
          <w:lang w:val="en-GB"/>
        </w:rPr>
        <w:t>Liat performs on the</w:t>
      </w:r>
      <w:r w:rsidR="006F76FB">
        <w:rPr>
          <w:lang w:val="en-GB"/>
        </w:rPr>
        <w:t xml:space="preserve">se </w:t>
      </w:r>
      <w:r w:rsidR="00A603D7">
        <w:rPr>
          <w:lang w:val="en-GB"/>
        </w:rPr>
        <w:t>reverse</w:t>
      </w:r>
      <w:r w:rsidRPr="005653BA">
        <w:rPr>
          <w:lang w:val="en-GB"/>
        </w:rPr>
        <w:t xml:space="preserve"> operations described</w:t>
      </w:r>
      <w:r w:rsidR="006F76FB">
        <w:rPr>
          <w:lang w:val="en-GB"/>
        </w:rPr>
        <w:t>,</w:t>
      </w:r>
      <w:r w:rsidRPr="005653BA">
        <w:rPr>
          <w:lang w:val="en-GB"/>
        </w:rPr>
        <w:t xml:space="preserve"> calculat</w:t>
      </w:r>
      <w:r w:rsidR="006F76FB">
        <w:rPr>
          <w:lang w:val="en-GB"/>
        </w:rPr>
        <w:t>ing</w:t>
      </w:r>
      <w:r w:rsidRPr="005653BA">
        <w:rPr>
          <w:lang w:val="en-GB"/>
        </w:rPr>
        <w:t xml:space="preserve"> the expression </w:t>
      </w:r>
      <m:oMath>
        <m:f>
          <m:fPr>
            <m:ctrlPr>
              <w:rPr>
                <w:rFonts w:ascii="Cambria Math" w:hAnsi="Cambria Math"/>
                <w:i/>
                <w:lang w:val="en-GB"/>
              </w:rPr>
            </m:ctrlPr>
          </m:fPr>
          <m:num>
            <m:r>
              <w:rPr>
                <w:rFonts w:ascii="Cambria Math" w:hAnsi="Cambria Math"/>
                <w:lang w:val="en-GB"/>
              </w:rPr>
              <m:t>7+54</m:t>
            </m:r>
          </m:num>
          <m:den>
            <m:r>
              <w:rPr>
                <w:rFonts w:ascii="Cambria Math" w:hAnsi="Cambria Math"/>
                <w:lang w:val="en-GB"/>
              </w:rPr>
              <m:t>7</m:t>
            </m:r>
          </m:den>
        </m:f>
      </m:oMath>
      <w:r w:rsidRPr="005653BA">
        <w:rPr>
          <w:lang w:val="en-GB"/>
        </w:rPr>
        <w:t xml:space="preserve"> and then</w:t>
      </w:r>
      <w:r w:rsidR="008E0BC1">
        <w:rPr>
          <w:lang w:val="en-GB"/>
        </w:rPr>
        <w:t xml:space="preserve"> </w:t>
      </w:r>
      <m:oMath>
        <m:f>
          <m:fPr>
            <m:ctrlPr>
              <w:rPr>
                <w:rFonts w:ascii="Cambria Math" w:hAnsi="Cambria Math"/>
                <w:i/>
                <w:lang w:val="en-GB"/>
              </w:rPr>
            </m:ctrlPr>
          </m:fPr>
          <m:num>
            <m:r>
              <w:rPr>
                <w:rFonts w:ascii="Cambria Math" w:hAnsi="Cambria Math"/>
                <w:lang w:val="en-GB"/>
              </w:rPr>
              <m:t>61</m:t>
            </m:r>
          </m:num>
          <m:den>
            <m:r>
              <w:rPr>
                <w:rFonts w:ascii="Cambria Math" w:hAnsi="Cambria Math"/>
                <w:lang w:val="en-GB"/>
              </w:rPr>
              <m:t>7</m:t>
            </m:r>
          </m:den>
        </m:f>
      </m:oMath>
      <w:r w:rsidRPr="005653BA">
        <w:rPr>
          <w:lang w:val="en-GB"/>
        </w:rPr>
        <w:t xml:space="preserve">. During this attempt, Liat's narratives revolve exclusively around specific numbers. After encountering difficulties </w:t>
      </w:r>
      <w:r w:rsidR="006F76FB">
        <w:rPr>
          <w:lang w:val="en-GB"/>
        </w:rPr>
        <w:t>with</w:t>
      </w:r>
      <w:r w:rsidR="006F76FB" w:rsidRPr="005653BA">
        <w:rPr>
          <w:lang w:val="en-GB"/>
        </w:rPr>
        <w:t xml:space="preserve"> </w:t>
      </w:r>
      <w:r w:rsidRPr="005653BA">
        <w:rPr>
          <w:lang w:val="en-GB"/>
        </w:rPr>
        <w:t>this attempt as well, she starts the procedure over again. During this process, she writes the expression</w:t>
      </w:r>
      <w:r w:rsidR="008E0BC1">
        <w:rPr>
          <w:lang w:val="en-GB"/>
        </w:rPr>
        <w:t xml:space="preserve"> </w:t>
      </w:r>
      <m:oMath>
        <m:r>
          <w:rPr>
            <w:rFonts w:ascii="Cambria Math" w:hAnsi="Cambria Math"/>
            <w:lang w:val="en-GB"/>
          </w:rPr>
          <m:t>7∙x-54</m:t>
        </m:r>
      </m:oMath>
      <w:r w:rsidRPr="005653BA">
        <w:rPr>
          <w:lang w:val="en-GB"/>
        </w:rPr>
        <w:t>. Regarding this procedure, Liat notes that "</w:t>
      </w:r>
      <w:r w:rsidR="008E0BC1">
        <w:rPr>
          <w:lang w:val="en-GB"/>
        </w:rPr>
        <w:t>x</w:t>
      </w:r>
      <w:r w:rsidRPr="005653BA">
        <w:rPr>
          <w:lang w:val="en-GB"/>
        </w:rPr>
        <w:t xml:space="preserve"> is the specific number." This narrative ostensibly revolves around a generalized number, but it contains nothing more than a matching of signs</w:t>
      </w:r>
      <w:r w:rsidR="006245EB">
        <w:rPr>
          <w:lang w:val="en-GB"/>
        </w:rPr>
        <w:t xml:space="preserve"> (“x” to “the specific number” as worded in the task)</w:t>
      </w:r>
      <w:r w:rsidRPr="005653BA">
        <w:rPr>
          <w:lang w:val="en-GB"/>
        </w:rPr>
        <w:t>. Therefore, in Liat's discourse, there are no narratives whose object is a generalized number.</w:t>
      </w:r>
    </w:p>
    <w:p w14:paraId="0460C0EC" w14:textId="26CAE4F0" w:rsidR="007307C0" w:rsidRDefault="00222AC7" w:rsidP="008F3A5F">
      <w:pPr>
        <w:pStyle w:val="PMENormal"/>
        <w:rPr>
          <w:lang w:val="en-GB"/>
        </w:rPr>
      </w:pPr>
      <w:r w:rsidRPr="00035480">
        <w:rPr>
          <w:rFonts w:ascii="Calibri" w:hAnsi="Calibri" w:cs="Calibri"/>
          <w:noProof/>
          <w:color w:val="000000" w:themeColor="text1"/>
          <w:rtl/>
        </w:rPr>
        <w:drawing>
          <wp:anchor distT="0" distB="0" distL="114300" distR="114300" simplePos="0" relativeHeight="251659264" behindDoc="1" locked="1" layoutInCell="1" allowOverlap="1" wp14:anchorId="3B8A7036" wp14:editId="204AEF2B">
            <wp:simplePos x="0" y="0"/>
            <wp:positionH relativeFrom="column">
              <wp:posOffset>5101590</wp:posOffset>
            </wp:positionH>
            <wp:positionV relativeFrom="paragraph">
              <wp:posOffset>631465</wp:posOffset>
            </wp:positionV>
            <wp:extent cx="968400" cy="500400"/>
            <wp:effectExtent l="12700" t="12700" r="9525" b="7620"/>
            <wp:wrapTight wrapText="bothSides">
              <wp:wrapPolygon edited="0">
                <wp:start x="-283" y="-548"/>
                <wp:lineTo x="-283" y="21381"/>
                <wp:lineTo x="21529" y="21381"/>
                <wp:lineTo x="21529" y="-548"/>
                <wp:lineTo x="-283" y="-548"/>
              </wp:wrapPolygon>
            </wp:wrapTight>
            <wp:docPr id="1201639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6596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400" cy="50040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D92B8B" w:rsidRPr="008F3A5F">
        <w:rPr>
          <w:lang w:val="en-GB"/>
        </w:rPr>
        <w:t>In Gil's discourse, one can find narratives that</w:t>
      </w:r>
      <w:r w:rsidR="007307C0" w:rsidRPr="008F3A5F">
        <w:rPr>
          <w:lang w:val="en-GB"/>
        </w:rPr>
        <w:t xml:space="preserve"> are </w:t>
      </w:r>
      <w:r w:rsidR="006245EB">
        <w:rPr>
          <w:lang w:val="en-GB"/>
        </w:rPr>
        <w:t xml:space="preserve">mostly </w:t>
      </w:r>
      <w:r w:rsidR="007307C0" w:rsidRPr="008F3A5F">
        <w:rPr>
          <w:lang w:val="en-GB"/>
        </w:rPr>
        <w:t xml:space="preserve">concerned with specific numbers. However, we can also find </w:t>
      </w:r>
      <w:r w:rsidR="008E0BC1">
        <w:rPr>
          <w:lang w:val="en-GB"/>
        </w:rPr>
        <w:t xml:space="preserve">in </w:t>
      </w:r>
      <w:r w:rsidR="006245EB">
        <w:rPr>
          <w:lang w:val="en-GB"/>
        </w:rPr>
        <w:t xml:space="preserve">his </w:t>
      </w:r>
      <w:r w:rsidR="00722737">
        <w:rPr>
          <w:lang w:val="en-GB"/>
        </w:rPr>
        <w:t>procedures</w:t>
      </w:r>
      <w:r w:rsidR="006245EB">
        <w:rPr>
          <w:lang w:val="en-GB"/>
        </w:rPr>
        <w:t xml:space="preserve"> </w:t>
      </w:r>
      <w:r w:rsidR="007307C0" w:rsidRPr="008F3A5F">
        <w:rPr>
          <w:lang w:val="en-GB"/>
        </w:rPr>
        <w:t xml:space="preserve">implicit </w:t>
      </w:r>
      <w:r w:rsidR="00833480">
        <w:rPr>
          <w:lang w:val="en-GB"/>
        </w:rPr>
        <w:t xml:space="preserve">and explicit </w:t>
      </w:r>
      <w:r w:rsidR="007307C0" w:rsidRPr="008F3A5F">
        <w:rPr>
          <w:lang w:val="en-GB"/>
        </w:rPr>
        <w:t>narratives about generalized numbers.</w:t>
      </w:r>
      <w:r w:rsidR="000306B0">
        <w:rPr>
          <w:lang w:val="en-GB"/>
        </w:rPr>
        <w:t xml:space="preserve"> I</w:t>
      </w:r>
      <w:r w:rsidR="009B410C">
        <w:rPr>
          <w:lang w:val="en-US"/>
        </w:rPr>
        <w:t>n</w:t>
      </w:r>
      <w:r w:rsidR="000306B0">
        <w:rPr>
          <w:lang w:val="en-GB"/>
        </w:rPr>
        <w:t xml:space="preserve"> the following we explicate the different kinds of narratives we found in </w:t>
      </w:r>
      <w:r w:rsidR="00833480">
        <w:rPr>
          <w:lang w:val="en-GB"/>
        </w:rPr>
        <w:t xml:space="preserve">his </w:t>
      </w:r>
      <w:r w:rsidR="000306B0">
        <w:rPr>
          <w:lang w:val="en-GB"/>
        </w:rPr>
        <w:t>discourse.</w:t>
      </w:r>
    </w:p>
    <w:p w14:paraId="72760685" w14:textId="2C61A0DF" w:rsidR="007307C0" w:rsidRPr="0010275F" w:rsidRDefault="00083D02" w:rsidP="0010275F">
      <w:pPr>
        <w:pStyle w:val="PMENumberedtranscript"/>
        <w:rPr>
          <w:lang w:val="en-US"/>
        </w:rPr>
      </w:pPr>
      <w:r>
        <w:rPr>
          <w:lang w:val="en-GB"/>
        </w:rPr>
        <w:t>190</w:t>
      </w:r>
      <w:r>
        <w:rPr>
          <w:lang w:val="en-GB"/>
        </w:rPr>
        <w:tab/>
        <w:t>Gil:</w:t>
      </w:r>
      <w:r>
        <w:rPr>
          <w:lang w:val="en-GB"/>
        </w:rPr>
        <w:tab/>
      </w:r>
      <w:r w:rsidRPr="007307C0">
        <w:rPr>
          <w:lang w:val="en-GB"/>
        </w:rPr>
        <w:t xml:space="preserve">Okay, fine. </w:t>
      </w:r>
      <w:proofErr w:type="gramStart"/>
      <w:r w:rsidRPr="007307C0">
        <w:rPr>
          <w:lang w:val="en-GB"/>
        </w:rPr>
        <w:t>So</w:t>
      </w:r>
      <w:proofErr w:type="gramEnd"/>
      <w:r w:rsidRPr="007307C0">
        <w:rPr>
          <w:lang w:val="en-GB"/>
        </w:rPr>
        <w:t xml:space="preserve"> I'll do it x plus fifty</w:t>
      </w:r>
      <w:r>
        <w:rPr>
          <w:lang w:val="en-GB"/>
        </w:rPr>
        <w:t xml:space="preserve"> </w:t>
      </w:r>
      <w:r w:rsidRPr="007307C0">
        <w:rPr>
          <w:lang w:val="en-GB"/>
        </w:rPr>
        <w:t>four divided by seven</w:t>
      </w:r>
      <w:r>
        <w:rPr>
          <w:lang w:val="en-GB"/>
        </w:rPr>
        <w:t>.</w:t>
      </w:r>
      <w:r w:rsidR="00222AC7" w:rsidRPr="00222AC7">
        <w:rPr>
          <w:rFonts w:ascii="Calibri" w:hAnsi="Calibri" w:cs="Calibri"/>
          <w:noProof/>
          <w:color w:val="000000" w:themeColor="text1"/>
          <w:rtl/>
        </w:rPr>
        <w:t xml:space="preserve"> </w:t>
      </w:r>
    </w:p>
    <w:p w14:paraId="4E424B39" w14:textId="619E3653" w:rsidR="00477E5C" w:rsidRDefault="00041FC6" w:rsidP="00477E5C">
      <w:pPr>
        <w:pStyle w:val="PMENormal"/>
        <w:rPr>
          <w:lang w:val="en-GB"/>
        </w:rPr>
      </w:pPr>
      <w:r>
        <w:rPr>
          <w:lang w:val="en-GB"/>
        </w:rPr>
        <w:t>Similarly to Liat</w:t>
      </w:r>
      <w:r w:rsidR="00722737">
        <w:rPr>
          <w:lang w:val="en-GB"/>
        </w:rPr>
        <w:t>’s narrative</w:t>
      </w:r>
      <w:r>
        <w:rPr>
          <w:lang w:val="en-GB"/>
        </w:rPr>
        <w:t xml:space="preserve"> [272], Gil’s </w:t>
      </w:r>
      <w:r w:rsidR="007307C0" w:rsidRPr="005B194E">
        <w:rPr>
          <w:lang w:val="en-GB"/>
        </w:rPr>
        <w:t xml:space="preserve">narrative in </w:t>
      </w:r>
      <w:r w:rsidR="005B194E" w:rsidRPr="005B194E">
        <w:rPr>
          <w:lang w:val="en-GB"/>
        </w:rPr>
        <w:t xml:space="preserve">turn </w:t>
      </w:r>
      <w:r w:rsidR="007307C0" w:rsidRPr="005B194E">
        <w:rPr>
          <w:lang w:val="en-GB"/>
        </w:rPr>
        <w:t xml:space="preserve">190 describes a symbolic expression </w:t>
      </w:r>
      <m:oMath>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x+54</m:t>
                </m:r>
              </m:num>
              <m:den>
                <m:r>
                  <m:rPr>
                    <m:sty m:val="p"/>
                  </m:rPr>
                  <w:rPr>
                    <w:rFonts w:ascii="Cambria Math" w:hAnsi="Cambria Math"/>
                    <w:lang w:val="en-GB"/>
                  </w:rPr>
                  <m:t>7</m:t>
                </m:r>
              </m:den>
            </m:f>
            <m:r>
              <m:rPr>
                <m:sty m:val="p"/>
              </m:rPr>
              <w:rPr>
                <w:rFonts w:ascii="Cambria Math" w:hAnsi="Cambria Math"/>
                <w:lang w:val="en-GB"/>
              </w:rPr>
              <m:t>=</m:t>
            </m:r>
          </m:e>
        </m:d>
        <m:r>
          <w:rPr>
            <w:rFonts w:ascii="Cambria Math" w:hAnsi="Cambria Math"/>
            <w:lang w:val="en-GB"/>
          </w:rPr>
          <m:t xml:space="preserve"> </m:t>
        </m:r>
      </m:oMath>
      <w:r w:rsidR="007307C0" w:rsidRPr="005B194E">
        <w:rPr>
          <w:lang w:val="en-GB"/>
        </w:rPr>
        <w:t xml:space="preserve">as something Gil does and not as a narrative about a generalized number. Gil </w:t>
      </w:r>
      <w:r w:rsidR="00871EB5">
        <w:rPr>
          <w:lang w:val="en-GB"/>
        </w:rPr>
        <w:t>also</w:t>
      </w:r>
      <w:r w:rsidR="007307C0" w:rsidRPr="005B194E">
        <w:rPr>
          <w:lang w:val="en-GB"/>
        </w:rPr>
        <w:t xml:space="preserve"> perform</w:t>
      </w:r>
      <w:r w:rsidR="00871EB5">
        <w:rPr>
          <w:lang w:val="en-GB"/>
        </w:rPr>
        <w:t xml:space="preserve">s a </w:t>
      </w:r>
      <w:r w:rsidR="00871EB5" w:rsidRPr="005B194E">
        <w:rPr>
          <w:lang w:val="en-GB"/>
        </w:rPr>
        <w:t>trial-and-error</w:t>
      </w:r>
      <w:r w:rsidR="007307C0" w:rsidRPr="005B194E">
        <w:rPr>
          <w:lang w:val="en-GB"/>
        </w:rPr>
        <w:t xml:space="preserve"> procedure and finds the desired number. </w:t>
      </w:r>
      <w:r w:rsidR="00E349B4">
        <w:rPr>
          <w:lang w:val="en-GB"/>
        </w:rPr>
        <w:t xml:space="preserve">He says: “the number is nine” [194]. This utterance is indeed a narrative about a generalized number, as the signifier “the number” signifies the “the number I thought of” in the given problem, and the story told here regarding that number is that it is nine. </w:t>
      </w:r>
    </w:p>
    <w:p w14:paraId="3DC88178" w14:textId="7B41107E" w:rsidR="00627F6F" w:rsidRDefault="000154AC" w:rsidP="000154AC">
      <w:pPr>
        <w:pStyle w:val="PMENormal"/>
        <w:rPr>
          <w:lang w:val="en-GB"/>
        </w:rPr>
      </w:pPr>
      <w:r>
        <w:rPr>
          <w:lang w:val="en-GB"/>
        </w:rPr>
        <w:t>When d</w:t>
      </w:r>
      <w:r w:rsidR="00121904">
        <w:rPr>
          <w:lang w:val="en-GB"/>
        </w:rPr>
        <w:t xml:space="preserve">epicting the </w:t>
      </w:r>
      <w:r w:rsidR="00CF2DCE">
        <w:rPr>
          <w:lang w:val="en-GB"/>
        </w:rPr>
        <w:t>procedure</w:t>
      </w:r>
      <w:r w:rsidR="00121904">
        <w:rPr>
          <w:lang w:val="en-GB"/>
        </w:rPr>
        <w:t xml:space="preserve"> that </w:t>
      </w:r>
      <w:r w:rsidR="009B410C">
        <w:rPr>
          <w:lang w:val="en-GB"/>
        </w:rPr>
        <w:t xml:space="preserve">yielded </w:t>
      </w:r>
      <w:r w:rsidR="00121904">
        <w:rPr>
          <w:lang w:val="en-GB"/>
        </w:rPr>
        <w:t>the canonical narrative Gil elaborates:</w:t>
      </w:r>
      <w:r w:rsidR="007307C0" w:rsidRPr="005B194E">
        <w:rPr>
          <w:lang w:val="en-GB"/>
        </w:rPr>
        <w:t xml:space="preserve"> </w:t>
      </w:r>
    </w:p>
    <w:p w14:paraId="53484A99" w14:textId="3BA02A4A" w:rsidR="00627F6F" w:rsidRDefault="00627F6F" w:rsidP="00627F6F">
      <w:pPr>
        <w:pStyle w:val="PMENumberedtranscript"/>
        <w:rPr>
          <w:lang w:val="en-GB"/>
        </w:rPr>
      </w:pPr>
      <w:r>
        <w:rPr>
          <w:lang w:val="en-GB"/>
        </w:rPr>
        <w:t>207</w:t>
      </w:r>
      <w:r>
        <w:rPr>
          <w:lang w:val="en-GB"/>
        </w:rPr>
        <w:tab/>
        <w:t>Gil:</w:t>
      </w:r>
      <w:r>
        <w:rPr>
          <w:lang w:val="en-GB"/>
        </w:rPr>
        <w:tab/>
      </w:r>
      <w:r w:rsidRPr="005B194E">
        <w:rPr>
          <w:lang w:val="en-GB"/>
        </w:rPr>
        <w:t>I tried to put in a number that was like a two-digit number and then I realized that it didn't make sense</w:t>
      </w:r>
      <w:r>
        <w:rPr>
          <w:lang w:val="en-GB"/>
        </w:rPr>
        <w:t>.</w:t>
      </w:r>
    </w:p>
    <w:p w14:paraId="677426E9" w14:textId="79FD6163" w:rsidR="00627F6F" w:rsidRPr="00627F6F" w:rsidRDefault="00627F6F" w:rsidP="00627F6F">
      <w:pPr>
        <w:pStyle w:val="PMENumberedtranscript"/>
        <w:rPr>
          <w:lang w:val="en-GB"/>
        </w:rPr>
      </w:pPr>
      <w:r>
        <w:rPr>
          <w:lang w:val="en-GB"/>
        </w:rPr>
        <w:lastRenderedPageBreak/>
        <w:t>209</w:t>
      </w:r>
      <w:r>
        <w:rPr>
          <w:lang w:val="en-GB"/>
        </w:rPr>
        <w:tab/>
        <w:t>Gil:</w:t>
      </w:r>
      <w:r>
        <w:rPr>
          <w:lang w:val="en-GB"/>
        </w:rPr>
        <w:tab/>
      </w:r>
      <w:r w:rsidRPr="005B194E">
        <w:rPr>
          <w:lang w:val="en-GB"/>
        </w:rPr>
        <w:t xml:space="preserve">And then I tried... I added </w:t>
      </w:r>
      <w:r w:rsidR="00D5611B">
        <w:rPr>
          <w:lang w:val="en-GB"/>
        </w:rPr>
        <w:t>thirteen</w:t>
      </w:r>
      <w:r w:rsidRPr="005B194E">
        <w:rPr>
          <w:lang w:val="en-GB"/>
        </w:rPr>
        <w:t xml:space="preserve"> and then I realized that it didn't make sense as if it was too big a number, I tried the largest single digit, and I just got </w:t>
      </w:r>
      <w:r w:rsidR="00D5611B">
        <w:rPr>
          <w:lang w:val="en-GB"/>
        </w:rPr>
        <w:t>nine</w:t>
      </w:r>
      <w:r w:rsidRPr="005B194E">
        <w:rPr>
          <w:lang w:val="en-GB"/>
        </w:rPr>
        <w:t xml:space="preserve">, I got </w:t>
      </w:r>
      <w:r w:rsidR="00D5611B">
        <w:rPr>
          <w:lang w:val="en-GB"/>
        </w:rPr>
        <w:t>nine</w:t>
      </w:r>
      <w:r w:rsidRPr="005B194E">
        <w:rPr>
          <w:lang w:val="en-GB"/>
        </w:rPr>
        <w:t>.</w:t>
      </w:r>
    </w:p>
    <w:p w14:paraId="34E506A4" w14:textId="71D31668" w:rsidR="007307C0" w:rsidRPr="00F3553C" w:rsidRDefault="00722737" w:rsidP="00477E5C">
      <w:pPr>
        <w:pStyle w:val="PMENormal"/>
        <w:rPr>
          <w:lang w:val="en-US"/>
        </w:rPr>
      </w:pPr>
      <w:r>
        <w:rPr>
          <w:lang w:val="en-GB"/>
        </w:rPr>
        <w:t xml:space="preserve">Similarly to Mika, the fact Gil </w:t>
      </w:r>
      <w:r w:rsidR="00F833E1">
        <w:rPr>
          <w:lang w:val="en-GB"/>
        </w:rPr>
        <w:t xml:space="preserve">considers </w:t>
      </w:r>
      <w:r>
        <w:rPr>
          <w:lang w:val="en-GB"/>
        </w:rPr>
        <w:t xml:space="preserve">“a number” as a </w:t>
      </w:r>
      <w:r w:rsidR="00F833E1">
        <w:rPr>
          <w:lang w:val="en-GB"/>
        </w:rPr>
        <w:t xml:space="preserve">signifier </w:t>
      </w:r>
      <w:r>
        <w:rPr>
          <w:lang w:val="en-GB"/>
        </w:rPr>
        <w:t>of “any number” and his</w:t>
      </w:r>
      <w:r w:rsidR="007312D4">
        <w:rPr>
          <w:lang w:val="en-GB"/>
        </w:rPr>
        <w:t xml:space="preserve"> substitution procedure impl</w:t>
      </w:r>
      <w:r>
        <w:rPr>
          <w:lang w:val="en-GB"/>
        </w:rPr>
        <w:t>y</w:t>
      </w:r>
      <w:r w:rsidR="007312D4">
        <w:rPr>
          <w:lang w:val="en-GB"/>
        </w:rPr>
        <w:t xml:space="preserve"> that the narrative given in the problem is about a generalized number.</w:t>
      </w:r>
      <w:r w:rsidR="00F833E1">
        <w:rPr>
          <w:lang w:val="en-GB"/>
        </w:rPr>
        <w:t xml:space="preserve"> </w:t>
      </w:r>
      <w:r w:rsidR="007307C0" w:rsidRPr="005B194E">
        <w:rPr>
          <w:lang w:val="en-GB"/>
        </w:rPr>
        <w:t xml:space="preserve">In </w:t>
      </w:r>
      <w:r w:rsidR="00F833E1">
        <w:rPr>
          <w:lang w:val="en-GB"/>
        </w:rPr>
        <w:t xml:space="preserve">addition, in </w:t>
      </w:r>
      <w:r w:rsidR="007307C0" w:rsidRPr="005B194E">
        <w:rPr>
          <w:lang w:val="en-GB"/>
        </w:rPr>
        <w:t xml:space="preserve">this explanation, </w:t>
      </w:r>
      <w:r w:rsidR="00E26CB7">
        <w:rPr>
          <w:lang w:val="en-GB"/>
        </w:rPr>
        <w:t xml:space="preserve">there are </w:t>
      </w:r>
      <w:r w:rsidR="007307C0" w:rsidRPr="005B194E">
        <w:rPr>
          <w:lang w:val="en-GB"/>
        </w:rPr>
        <w:t xml:space="preserve">two </w:t>
      </w:r>
      <w:r w:rsidR="00A37330">
        <w:rPr>
          <w:lang w:val="en-US" w:bidi="he-IL"/>
        </w:rPr>
        <w:t>verbal descriptions</w:t>
      </w:r>
      <w:r w:rsidR="00A37330" w:rsidRPr="005B194E">
        <w:rPr>
          <w:lang w:val="en-GB"/>
        </w:rPr>
        <w:t xml:space="preserve"> </w:t>
      </w:r>
      <w:r w:rsidR="007307C0" w:rsidRPr="005B194E">
        <w:rPr>
          <w:lang w:val="en-GB"/>
        </w:rPr>
        <w:t>of generalized numbers: "a two-digit number" and "a single-digit number"</w:t>
      </w:r>
      <w:r w:rsidR="00627F6F">
        <w:rPr>
          <w:lang w:val="en-GB"/>
        </w:rPr>
        <w:t xml:space="preserve"> </w:t>
      </w:r>
      <w:r w:rsidR="00833480">
        <w:rPr>
          <w:lang w:val="en-GB"/>
        </w:rPr>
        <w:t>which Gil tells the following</w:t>
      </w:r>
      <w:r w:rsidR="00EF3822">
        <w:rPr>
          <w:lang w:val="en-GB"/>
        </w:rPr>
        <w:t xml:space="preserve"> </w:t>
      </w:r>
      <w:r w:rsidR="007312D4">
        <w:rPr>
          <w:lang w:val="en-GB"/>
        </w:rPr>
        <w:t xml:space="preserve">two </w:t>
      </w:r>
      <w:r w:rsidR="00EF3822">
        <w:rPr>
          <w:lang w:val="en-GB"/>
        </w:rPr>
        <w:t>narratives</w:t>
      </w:r>
      <w:r w:rsidR="00E26CB7">
        <w:rPr>
          <w:lang w:val="en-GB"/>
        </w:rPr>
        <w:t xml:space="preserve"> </w:t>
      </w:r>
      <w:r w:rsidR="00833480">
        <w:rPr>
          <w:lang w:val="en-GB"/>
        </w:rPr>
        <w:t>about</w:t>
      </w:r>
      <w:r w:rsidR="00E26CB7">
        <w:rPr>
          <w:lang w:val="en-GB"/>
        </w:rPr>
        <w:t xml:space="preserve">: When a </w:t>
      </w:r>
      <w:r w:rsidR="00C70031">
        <w:rPr>
          <w:lang w:val="en-GB"/>
        </w:rPr>
        <w:t>two-digit</w:t>
      </w:r>
      <w:r w:rsidR="00E26CB7">
        <w:rPr>
          <w:lang w:val="en-GB"/>
        </w:rPr>
        <w:t xml:space="preserve"> number is substituted for “the number I thought of” it yields a number which is too big</w:t>
      </w:r>
      <w:r w:rsidR="00C70031">
        <w:rPr>
          <w:lang w:val="en-GB"/>
        </w:rPr>
        <w:t xml:space="preserve">, </w:t>
      </w:r>
      <w:r w:rsidR="009B410C">
        <w:rPr>
          <w:lang w:val="en-GB"/>
        </w:rPr>
        <w:t>and</w:t>
      </w:r>
      <w:r w:rsidR="00C70031">
        <w:rPr>
          <w:lang w:val="en-GB"/>
        </w:rPr>
        <w:t xml:space="preserve"> </w:t>
      </w:r>
      <w:r w:rsidR="000C5AC6">
        <w:rPr>
          <w:lang w:val="en-GB"/>
        </w:rPr>
        <w:t xml:space="preserve">- </w:t>
      </w:r>
      <w:r w:rsidR="00C70031">
        <w:rPr>
          <w:lang w:val="en-GB"/>
        </w:rPr>
        <w:t xml:space="preserve">the largest </w:t>
      </w:r>
      <w:r w:rsidR="008C733E">
        <w:rPr>
          <w:lang w:val="en-GB"/>
        </w:rPr>
        <w:t>one-digit</w:t>
      </w:r>
      <w:r w:rsidR="00C70031">
        <w:rPr>
          <w:lang w:val="en-GB"/>
        </w:rPr>
        <w:t xml:space="preserve"> number is nine.</w:t>
      </w:r>
      <w:r w:rsidR="000A527A">
        <w:rPr>
          <w:lang w:val="en-GB"/>
        </w:rPr>
        <w:t xml:space="preserve"> </w:t>
      </w:r>
      <w:r>
        <w:rPr>
          <w:lang w:val="en-GB"/>
        </w:rPr>
        <w:t>To conclude, we found</w:t>
      </w:r>
      <w:r w:rsidR="00F3553C">
        <w:rPr>
          <w:lang w:val="en-GB"/>
        </w:rPr>
        <w:t xml:space="preserve"> </w:t>
      </w:r>
      <w:r w:rsidR="00477E5C">
        <w:rPr>
          <w:lang w:val="en-GB"/>
        </w:rPr>
        <w:t>i</w:t>
      </w:r>
      <w:r w:rsidR="00F3553C">
        <w:rPr>
          <w:lang w:val="en-GB"/>
        </w:rPr>
        <w:t xml:space="preserve">n Gil’s discourse symbolic signifiers </w:t>
      </w:r>
      <w:r>
        <w:rPr>
          <w:lang w:val="en-GB"/>
        </w:rPr>
        <w:t>detached from any object</w:t>
      </w:r>
      <w:r w:rsidR="00F3553C">
        <w:rPr>
          <w:lang w:val="en-GB"/>
        </w:rPr>
        <w:t xml:space="preserve">, narratives around </w:t>
      </w:r>
      <w:r w:rsidR="00F3553C">
        <w:rPr>
          <w:lang w:val="en-US" w:bidi="he-IL"/>
        </w:rPr>
        <w:t xml:space="preserve">specific numbers and </w:t>
      </w:r>
      <w:r w:rsidR="00384387">
        <w:rPr>
          <w:lang w:val="en-US" w:bidi="he-IL"/>
        </w:rPr>
        <w:t xml:space="preserve">implicit and explicit </w:t>
      </w:r>
      <w:r w:rsidR="00F3553C">
        <w:rPr>
          <w:lang w:val="en-US" w:bidi="he-IL"/>
        </w:rPr>
        <w:t>nar</w:t>
      </w:r>
      <w:r w:rsidR="00D45C32">
        <w:rPr>
          <w:lang w:val="en-US" w:bidi="he-IL"/>
        </w:rPr>
        <w:t>r</w:t>
      </w:r>
      <w:r w:rsidR="00F3553C">
        <w:rPr>
          <w:lang w:val="en-US" w:bidi="he-IL"/>
        </w:rPr>
        <w:t>atives</w:t>
      </w:r>
      <w:r>
        <w:rPr>
          <w:lang w:val="en-US" w:bidi="he-IL"/>
        </w:rPr>
        <w:t xml:space="preserve"> (</w:t>
      </w:r>
      <w:r w:rsidR="00A37330">
        <w:rPr>
          <w:lang w:val="en-US" w:bidi="he-IL"/>
        </w:rPr>
        <w:t xml:space="preserve">verbal, </w:t>
      </w:r>
      <w:r>
        <w:rPr>
          <w:lang w:val="en-US" w:bidi="he-IL"/>
        </w:rPr>
        <w:t>non-symbolic)</w:t>
      </w:r>
      <w:r w:rsidR="00D45C32">
        <w:rPr>
          <w:lang w:val="en-US" w:bidi="he-IL"/>
        </w:rPr>
        <w:t xml:space="preserve"> around generalized numbers.</w:t>
      </w:r>
    </w:p>
    <w:p w14:paraId="5CA78DBE" w14:textId="7814C4A5" w:rsidR="0071208A" w:rsidRPr="00551C27" w:rsidRDefault="007307C0" w:rsidP="0020708F">
      <w:pPr>
        <w:pStyle w:val="PMENormal"/>
        <w:rPr>
          <w:lang w:val="en-US" w:bidi="he-IL"/>
        </w:rPr>
      </w:pPr>
      <w:r w:rsidRPr="005B194E">
        <w:rPr>
          <w:lang w:val="en-GB"/>
        </w:rPr>
        <w:t xml:space="preserve">In Tom's discourse, one can find </w:t>
      </w:r>
      <w:r w:rsidR="00437E23">
        <w:rPr>
          <w:lang w:val="en-GB"/>
        </w:rPr>
        <w:t>symbolically mediated</w:t>
      </w:r>
      <w:r w:rsidR="00722737">
        <w:rPr>
          <w:lang w:val="en-GB"/>
        </w:rPr>
        <w:t xml:space="preserve"> </w:t>
      </w:r>
      <w:r w:rsidRPr="005B194E">
        <w:rPr>
          <w:lang w:val="en-GB"/>
        </w:rPr>
        <w:t>narratives about generalized numbers</w:t>
      </w:r>
      <w:r w:rsidR="00F26FB6">
        <w:rPr>
          <w:lang w:val="en-GB"/>
        </w:rPr>
        <w:t>.</w:t>
      </w:r>
    </w:p>
    <w:p w14:paraId="0360ECEE" w14:textId="785A4AA1" w:rsidR="008A164A" w:rsidRDefault="007307C0" w:rsidP="0020708F">
      <w:pPr>
        <w:pStyle w:val="PMENumberedtranscript"/>
        <w:rPr>
          <w:lang w:val="en-GB"/>
        </w:rPr>
      </w:pPr>
      <w:r w:rsidRPr="005B194E">
        <w:rPr>
          <w:lang w:val="en-GB"/>
        </w:rPr>
        <w:t xml:space="preserve"> </w:t>
      </w:r>
      <w:r w:rsidR="0020708F">
        <w:rPr>
          <w:lang w:val="en-GB"/>
        </w:rPr>
        <w:t>21</w:t>
      </w:r>
      <w:r w:rsidR="0020708F">
        <w:rPr>
          <w:lang w:val="en-GB"/>
        </w:rPr>
        <w:tab/>
        <w:t>Tom:</w:t>
      </w:r>
      <w:r w:rsidR="0020708F">
        <w:rPr>
          <w:lang w:val="en-GB"/>
        </w:rPr>
        <w:tab/>
      </w:r>
      <w:r w:rsidR="00722737">
        <w:rPr>
          <w:lang w:val="en-GB"/>
        </w:rPr>
        <w:t>(Asking for clarification of the problem) It’s a</w:t>
      </w:r>
      <w:r w:rsidRPr="005B194E">
        <w:rPr>
          <w:lang w:val="en-GB"/>
        </w:rPr>
        <w:t>s if we were to start with the same number, starting with one and ending with the same number, right?</w:t>
      </w:r>
    </w:p>
    <w:p w14:paraId="72931F80" w14:textId="77777777" w:rsidR="008A164A" w:rsidRDefault="008A164A" w:rsidP="0020708F">
      <w:pPr>
        <w:pStyle w:val="PMENumberedtranscript"/>
        <w:rPr>
          <w:lang w:val="en-GB"/>
        </w:rPr>
      </w:pPr>
      <w:r>
        <w:rPr>
          <w:lang w:val="en-GB"/>
        </w:rPr>
        <w:t>24</w:t>
      </w:r>
      <w:r>
        <w:rPr>
          <w:lang w:val="en-GB"/>
        </w:rPr>
        <w:tab/>
        <w:t>Int:</w:t>
      </w:r>
      <w:r>
        <w:rPr>
          <w:lang w:val="en-GB"/>
        </w:rPr>
        <w:tab/>
        <w:t>…Do you have a way to begin with?</w:t>
      </w:r>
    </w:p>
    <w:p w14:paraId="7D0D17F4" w14:textId="1BDA88D4" w:rsidR="0020708F" w:rsidRDefault="008A164A" w:rsidP="0020708F">
      <w:pPr>
        <w:pStyle w:val="PMENumberedtranscript"/>
        <w:rPr>
          <w:lang w:val="en-GB"/>
        </w:rPr>
      </w:pPr>
      <w:r>
        <w:rPr>
          <w:lang w:val="en-GB"/>
        </w:rPr>
        <w:t>25</w:t>
      </w:r>
      <w:r>
        <w:rPr>
          <w:lang w:val="en-GB"/>
        </w:rPr>
        <w:tab/>
        <w:t>Tom:</w:t>
      </w:r>
      <w:r>
        <w:rPr>
          <w:lang w:val="en-GB"/>
        </w:rPr>
        <w:tab/>
        <w:t>to go through every possible number and check it.</w:t>
      </w:r>
    </w:p>
    <w:p w14:paraId="7D08EDAA" w14:textId="55AEE3BF" w:rsidR="008A164A" w:rsidRDefault="007307C0" w:rsidP="005B194E">
      <w:pPr>
        <w:pStyle w:val="PMENormal"/>
        <w:rPr>
          <w:lang w:val="en-GB"/>
        </w:rPr>
      </w:pPr>
      <w:r w:rsidRPr="005B194E">
        <w:rPr>
          <w:lang w:val="en-GB"/>
        </w:rPr>
        <w:t xml:space="preserve">The </w:t>
      </w:r>
      <w:r w:rsidR="00A37330">
        <w:rPr>
          <w:lang w:val="en-GB"/>
        </w:rPr>
        <w:t xml:space="preserve">verbal </w:t>
      </w:r>
      <w:r w:rsidR="0020708F">
        <w:rPr>
          <w:lang w:val="en-GB"/>
        </w:rPr>
        <w:t>signifier</w:t>
      </w:r>
      <w:r w:rsidR="008A164A">
        <w:rPr>
          <w:lang w:val="en-GB"/>
        </w:rPr>
        <w:t>s</w:t>
      </w:r>
      <w:r w:rsidRPr="005B194E">
        <w:rPr>
          <w:lang w:val="en-GB"/>
        </w:rPr>
        <w:t xml:space="preserve"> "the same number" </w:t>
      </w:r>
      <w:r w:rsidR="008A164A">
        <w:rPr>
          <w:lang w:val="en-GB"/>
        </w:rPr>
        <w:t xml:space="preserve">and </w:t>
      </w:r>
      <w:r w:rsidR="004B63E0">
        <w:rPr>
          <w:lang w:val="en-GB"/>
        </w:rPr>
        <w:t xml:space="preserve">“every possible number” </w:t>
      </w:r>
      <w:r w:rsidR="0020708F">
        <w:rPr>
          <w:lang w:val="en-GB"/>
        </w:rPr>
        <w:t>signif</w:t>
      </w:r>
      <w:r w:rsidR="004B63E0">
        <w:rPr>
          <w:lang w:val="en-GB"/>
        </w:rPr>
        <w:t>y</w:t>
      </w:r>
      <w:r w:rsidRPr="005B194E">
        <w:rPr>
          <w:lang w:val="en-GB"/>
        </w:rPr>
        <w:t xml:space="preserve"> a generalized number.</w:t>
      </w:r>
      <w:r w:rsidR="00551C27">
        <w:rPr>
          <w:lang w:val="en-GB"/>
        </w:rPr>
        <w:t xml:space="preserve"> The first narrative </w:t>
      </w:r>
      <w:r w:rsidR="00384387">
        <w:rPr>
          <w:lang w:val="en-GB"/>
        </w:rPr>
        <w:t xml:space="preserve">[21] </w:t>
      </w:r>
      <w:r w:rsidR="00C352B9">
        <w:rPr>
          <w:lang w:val="en-GB"/>
        </w:rPr>
        <w:t xml:space="preserve">is embedded in what Tom thinks is given in the problem. </w:t>
      </w:r>
      <w:r w:rsidR="00384387">
        <w:rPr>
          <w:lang w:val="en-US"/>
        </w:rPr>
        <w:t xml:space="preserve">This narrative implies the question: </w:t>
      </w:r>
      <w:r w:rsidR="00C352B9">
        <w:rPr>
          <w:lang w:val="en-GB"/>
        </w:rPr>
        <w:t>Is it true that</w:t>
      </w:r>
      <w:r w:rsidR="00C352B9">
        <w:rPr>
          <w:lang w:val="en-US" w:bidi="he-IL"/>
        </w:rPr>
        <w:t xml:space="preserve"> </w:t>
      </w:r>
      <w:r w:rsidR="00C352B9">
        <w:rPr>
          <w:lang w:val="en-GB"/>
        </w:rPr>
        <w:t>we get</w:t>
      </w:r>
      <w:r w:rsidR="00551C27">
        <w:rPr>
          <w:lang w:val="en-GB"/>
        </w:rPr>
        <w:t xml:space="preserve"> the same number we</w:t>
      </w:r>
      <w:r w:rsidR="00C352B9">
        <w:rPr>
          <w:lang w:val="en-GB"/>
        </w:rPr>
        <w:t xml:space="preserve"> started with?</w:t>
      </w:r>
      <w:r w:rsidR="00551C27">
        <w:rPr>
          <w:lang w:val="en-GB"/>
        </w:rPr>
        <w:t xml:space="preserve"> [21]. </w:t>
      </w:r>
      <w:r w:rsidR="00C352B9">
        <w:rPr>
          <w:lang w:val="en-GB"/>
        </w:rPr>
        <w:t xml:space="preserve">The second narrative is implied in the procedure Tom suggests for solving the problem. Like Gil and Mika, Tom </w:t>
      </w:r>
      <w:r w:rsidR="008F7AD0">
        <w:rPr>
          <w:lang w:val="en-GB"/>
        </w:rPr>
        <w:t xml:space="preserve">uses the </w:t>
      </w:r>
      <w:r w:rsidR="00A37330">
        <w:rPr>
          <w:lang w:val="en-GB"/>
        </w:rPr>
        <w:t xml:space="preserve">verbal </w:t>
      </w:r>
      <w:r w:rsidR="008F7AD0">
        <w:rPr>
          <w:lang w:val="en-GB"/>
        </w:rPr>
        <w:t xml:space="preserve">signifier “the number I thought </w:t>
      </w:r>
      <w:r w:rsidR="006245EB">
        <w:rPr>
          <w:lang w:val="en-US" w:bidi="he-IL"/>
        </w:rPr>
        <w:t>o</w:t>
      </w:r>
      <w:r w:rsidR="008F7AD0">
        <w:rPr>
          <w:lang w:val="en-GB"/>
        </w:rPr>
        <w:t>f” as a number which can potentially be any number, and therefore a generalized number.</w:t>
      </w:r>
      <w:r w:rsidR="008A164A">
        <w:rPr>
          <w:lang w:val="en-GB"/>
        </w:rPr>
        <w:t xml:space="preserve"> </w:t>
      </w:r>
    </w:p>
    <w:p w14:paraId="513C91D3" w14:textId="0712A818" w:rsidR="007307C0" w:rsidRDefault="00A37330" w:rsidP="005B194E">
      <w:pPr>
        <w:pStyle w:val="PMENormal"/>
        <w:rPr>
          <w:lang w:val="en-GB"/>
        </w:rPr>
      </w:pPr>
      <w:r>
        <w:rPr>
          <w:lang w:val="en-GB"/>
        </w:rPr>
        <w:t>As he continues to engage with the task,</w:t>
      </w:r>
      <w:r w:rsidR="008A164A">
        <w:rPr>
          <w:lang w:val="en-GB"/>
        </w:rPr>
        <w:t xml:space="preserve"> </w:t>
      </w:r>
      <w:r w:rsidR="007307C0" w:rsidRPr="005B194E">
        <w:rPr>
          <w:lang w:val="en-GB"/>
        </w:rPr>
        <w:t xml:space="preserve">Tom formulates a non-canonical equation and at a certain point, he reaches the equation </w:t>
      </w:r>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7</m:t>
            </m:r>
          </m:den>
        </m:f>
        <m:r>
          <w:rPr>
            <w:rFonts w:ascii="Cambria Math" w:hAnsi="Cambria Math"/>
            <w:lang w:val="en-GB"/>
          </w:rPr>
          <m:t>+54=</m:t>
        </m:r>
        <m:f>
          <m:fPr>
            <m:ctrlPr>
              <w:rPr>
                <w:rFonts w:ascii="Cambria Math" w:hAnsi="Cambria Math"/>
                <w:i/>
                <w:lang w:val="en-GB"/>
              </w:rPr>
            </m:ctrlPr>
          </m:fPr>
          <m:num>
            <m:r>
              <w:rPr>
                <w:rFonts w:ascii="Cambria Math" w:hAnsi="Cambria Math"/>
                <w:lang w:val="en-GB"/>
              </w:rPr>
              <m:t>x</m:t>
            </m:r>
          </m:num>
          <m:den>
            <m:r>
              <w:rPr>
                <w:rFonts w:ascii="Cambria Math" w:hAnsi="Cambria Math"/>
                <w:lang w:val="en-GB"/>
              </w:rPr>
              <m:t>7</m:t>
            </m:r>
          </m:den>
        </m:f>
      </m:oMath>
      <w:r w:rsidR="007307C0" w:rsidRPr="005B194E">
        <w:rPr>
          <w:lang w:val="en-GB"/>
        </w:rPr>
        <w:t xml:space="preserve"> and says: "No, I just don't understand... How can something </w:t>
      </w:r>
      <w:r w:rsidR="0020708F">
        <w:rPr>
          <w:lang w:val="en-GB"/>
        </w:rPr>
        <w:t>plus</w:t>
      </w:r>
      <w:r w:rsidR="007307C0" w:rsidRPr="005B194E">
        <w:rPr>
          <w:lang w:val="en-GB"/>
        </w:rPr>
        <w:t xml:space="preserve"> 54, be equal to the same thing?". The </w:t>
      </w:r>
      <w:r w:rsidR="00C605D9">
        <w:rPr>
          <w:lang w:val="en-US"/>
        </w:rPr>
        <w:t xml:space="preserve">verbal </w:t>
      </w:r>
      <w:r w:rsidR="0020708F">
        <w:rPr>
          <w:lang w:val="en-GB"/>
        </w:rPr>
        <w:t>signifier</w:t>
      </w:r>
      <w:r w:rsidR="007307C0" w:rsidRPr="005B194E">
        <w:rPr>
          <w:lang w:val="en-GB"/>
        </w:rPr>
        <w:t xml:space="preserve"> "something" indicates </w:t>
      </w:r>
      <m:oMath>
        <m:f>
          <m:fPr>
            <m:ctrlPr>
              <w:rPr>
                <w:rFonts w:ascii="Cambria Math" w:hAnsi="Cambria Math"/>
                <w:i/>
                <w:lang w:val="en-GB"/>
              </w:rPr>
            </m:ctrlPr>
          </m:fPr>
          <m:num>
            <m:r>
              <w:rPr>
                <w:rFonts w:ascii="Cambria Math" w:hAnsi="Cambria Math"/>
                <w:lang w:val="en-GB"/>
              </w:rPr>
              <m:t>x</m:t>
            </m:r>
          </m:num>
          <m:den>
            <m:r>
              <w:rPr>
                <w:rFonts w:ascii="Cambria Math" w:hAnsi="Cambria Math"/>
                <w:lang w:val="en-GB"/>
              </w:rPr>
              <m:t>7</m:t>
            </m:r>
          </m:den>
        </m:f>
      </m:oMath>
      <w:r w:rsidR="007307C0" w:rsidRPr="005B194E">
        <w:rPr>
          <w:lang w:val="en-GB"/>
        </w:rPr>
        <w:t xml:space="preserve">, which is used in the equation as some numerical quantity, that is, as a </w:t>
      </w:r>
      <w:r w:rsidR="0020708F">
        <w:rPr>
          <w:lang w:val="en-GB"/>
        </w:rPr>
        <w:t>signifie</w:t>
      </w:r>
      <w:r w:rsidR="007307C0" w:rsidRPr="005B194E">
        <w:rPr>
          <w:lang w:val="en-GB"/>
        </w:rPr>
        <w:t>r of a generalized number.</w:t>
      </w:r>
      <w:r w:rsidR="0020708F">
        <w:rPr>
          <w:lang w:val="en-GB"/>
        </w:rPr>
        <w:t xml:space="preserve"> </w:t>
      </w:r>
      <w:r w:rsidR="008A164A">
        <w:rPr>
          <w:lang w:val="en-GB"/>
        </w:rPr>
        <w:t xml:space="preserve">We conclude that the narratives in Tom’s discourse revolve around generalized numbers </w:t>
      </w:r>
      <w:r w:rsidR="00B37AF6">
        <w:rPr>
          <w:lang w:val="en-GB"/>
        </w:rPr>
        <w:t xml:space="preserve">signified </w:t>
      </w:r>
      <w:r w:rsidR="008A164A">
        <w:rPr>
          <w:lang w:val="en-GB"/>
        </w:rPr>
        <w:t>both verbal</w:t>
      </w:r>
      <w:r w:rsidR="00B37AF6">
        <w:rPr>
          <w:lang w:val="en-GB"/>
        </w:rPr>
        <w:t>ly</w:t>
      </w:r>
      <w:r w:rsidR="008A164A">
        <w:rPr>
          <w:lang w:val="en-GB"/>
        </w:rPr>
        <w:t xml:space="preserve"> and </w:t>
      </w:r>
      <w:r w:rsidR="00F26FB6">
        <w:rPr>
          <w:lang w:val="en-GB"/>
        </w:rPr>
        <w:t>symbolically</w:t>
      </w:r>
      <w:r w:rsidR="008A164A">
        <w:rPr>
          <w:lang w:val="en-GB"/>
        </w:rPr>
        <w:t>.</w:t>
      </w:r>
    </w:p>
    <w:p w14:paraId="65EFC314" w14:textId="1C6DCC83" w:rsidR="00141BBF" w:rsidRDefault="001670CC" w:rsidP="007969C8">
      <w:pPr>
        <w:pStyle w:val="PMENormal"/>
        <w:rPr>
          <w:lang w:val="en-US" w:bidi="he-IL"/>
        </w:rPr>
      </w:pPr>
      <w:r>
        <w:rPr>
          <w:lang w:val="en-US" w:bidi="he-IL"/>
        </w:rPr>
        <w:t>Last, we present Alon’s discourse.</w:t>
      </w:r>
      <w:r w:rsidR="00855FF4">
        <w:rPr>
          <w:lang w:val="en-US" w:bidi="he-IL"/>
        </w:rPr>
        <w:t xml:space="preserve"> Alon without uttering a word, reads the problem, writes an equation and solves it. </w:t>
      </w:r>
    </w:p>
    <w:p w14:paraId="60BCC2F1" w14:textId="77777777" w:rsidR="00141BBF" w:rsidRPr="00141BBF" w:rsidRDefault="00141BBF" w:rsidP="00141BBF">
      <w:pPr>
        <w:pStyle w:val="PMENumberedtranscript"/>
        <w:rPr>
          <w:lang w:val="en-US" w:bidi="he-IL"/>
        </w:rPr>
      </w:pPr>
      <w:r w:rsidRPr="00141BBF">
        <w:rPr>
          <w:noProof/>
          <w:lang w:val="en-US" w:bidi="he-IL"/>
        </w:rPr>
        <w:drawing>
          <wp:anchor distT="0" distB="0" distL="114300" distR="114300" simplePos="0" relativeHeight="251662336" behindDoc="1" locked="1" layoutInCell="1" allowOverlap="1" wp14:anchorId="0108E85E" wp14:editId="062DA3D7">
            <wp:simplePos x="0" y="0"/>
            <wp:positionH relativeFrom="column">
              <wp:posOffset>1256030</wp:posOffset>
            </wp:positionH>
            <wp:positionV relativeFrom="paragraph">
              <wp:posOffset>269875</wp:posOffset>
            </wp:positionV>
            <wp:extent cx="835200" cy="871200"/>
            <wp:effectExtent l="12700" t="12700" r="15875" b="18415"/>
            <wp:wrapTight wrapText="bothSides">
              <wp:wrapPolygon edited="0">
                <wp:start x="-329" y="-315"/>
                <wp:lineTo x="-329" y="21742"/>
                <wp:lineTo x="21682" y="21742"/>
                <wp:lineTo x="21682" y="-315"/>
                <wp:lineTo x="-329" y="-31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200" cy="8712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141BBF">
        <w:rPr>
          <w:lang w:val="en-US" w:bidi="he-IL"/>
        </w:rPr>
        <w:t xml:space="preserve">1 </w:t>
      </w:r>
      <w:r w:rsidRPr="00141BBF">
        <w:rPr>
          <w:lang w:val="en-US" w:bidi="he-IL"/>
        </w:rPr>
        <w:tab/>
        <w:t>Alon:</w:t>
      </w:r>
      <w:r w:rsidRPr="00141BBF">
        <w:rPr>
          <w:lang w:val="en-US" w:bidi="he-IL"/>
        </w:rPr>
        <w:tab/>
        <w:t>((Alon reads the question silently and writes))</w:t>
      </w:r>
    </w:p>
    <w:p w14:paraId="448F79A2" w14:textId="77777777" w:rsidR="00141BBF" w:rsidRPr="00141BBF" w:rsidRDefault="00141BBF" w:rsidP="00141BBF">
      <w:pPr>
        <w:pStyle w:val="PMENumberedtranscript"/>
        <w:rPr>
          <w:rtl/>
          <w:lang w:val="en-US" w:bidi="he-IL"/>
        </w:rPr>
      </w:pPr>
      <w:r w:rsidRPr="00141BBF">
        <w:rPr>
          <w:lang w:val="en-US" w:bidi="he-IL"/>
        </w:rPr>
        <w:t>2</w:t>
      </w:r>
      <w:r w:rsidRPr="00141BBF">
        <w:rPr>
          <w:lang w:val="en-US" w:bidi="he-IL"/>
        </w:rPr>
        <w:tab/>
        <w:t xml:space="preserve">Alon: </w:t>
      </w:r>
      <w:r w:rsidRPr="00141BBF">
        <w:rPr>
          <w:lang w:val="en-US" w:bidi="he-IL"/>
        </w:rPr>
        <w:br/>
      </w:r>
      <w:r w:rsidRPr="00141BBF">
        <w:rPr>
          <w:lang w:val="en-US" w:bidi="he-IL"/>
        </w:rPr>
        <w:br/>
      </w:r>
      <w:r w:rsidRPr="00141BBF">
        <w:rPr>
          <w:lang w:val="en-US" w:bidi="he-IL"/>
        </w:rPr>
        <w:tab/>
      </w:r>
      <w:r w:rsidRPr="00141BBF">
        <w:rPr>
          <w:lang w:val="en-US" w:bidi="he-IL"/>
        </w:rPr>
        <w:br/>
      </w:r>
      <w:r w:rsidRPr="00141BBF">
        <w:rPr>
          <w:lang w:val="en-US" w:bidi="he-IL"/>
        </w:rPr>
        <w:br/>
      </w:r>
      <w:r w:rsidRPr="00141BBF">
        <w:rPr>
          <w:lang w:val="en-US" w:bidi="he-IL"/>
        </w:rPr>
        <w:br/>
      </w:r>
      <w:r w:rsidRPr="00141BBF">
        <w:rPr>
          <w:lang w:val="en-US" w:bidi="he-IL"/>
        </w:rPr>
        <w:br/>
      </w:r>
    </w:p>
    <w:p w14:paraId="4F3A0CC6" w14:textId="77777777" w:rsidR="00141BBF" w:rsidRDefault="00141BBF" w:rsidP="00141BBF">
      <w:pPr>
        <w:pStyle w:val="PMENumberedtranscript"/>
        <w:rPr>
          <w:lang w:val="en-US" w:bidi="he-IL"/>
        </w:rPr>
      </w:pPr>
      <w:r w:rsidRPr="00141BBF">
        <w:rPr>
          <w:lang w:val="en-US" w:bidi="he-IL"/>
        </w:rPr>
        <w:lastRenderedPageBreak/>
        <w:t>3</w:t>
      </w:r>
      <w:r w:rsidRPr="00141BBF">
        <w:rPr>
          <w:lang w:val="en-US" w:bidi="he-IL"/>
        </w:rPr>
        <w:tab/>
        <w:t xml:space="preserve">Alon: </w:t>
      </w:r>
      <w:r w:rsidRPr="00141BBF">
        <w:rPr>
          <w:lang w:val="en-US" w:bidi="he-IL"/>
        </w:rPr>
        <w:tab/>
        <w:t>The number is nine.</w:t>
      </w:r>
    </w:p>
    <w:p w14:paraId="52FF70B3" w14:textId="30BA76EA" w:rsidR="002842DA" w:rsidRDefault="00855FF4" w:rsidP="00B37AF6">
      <w:pPr>
        <w:pStyle w:val="PMENormal"/>
        <w:rPr>
          <w:lang w:val="en-US" w:bidi="he-IL"/>
        </w:rPr>
      </w:pPr>
      <w:r>
        <w:rPr>
          <w:lang w:val="en-US" w:bidi="he-IL"/>
        </w:rPr>
        <w:t xml:space="preserve">We can see Alon’s narrative about a generalized number, in turn [3] where he states that </w:t>
      </w:r>
      <w:r w:rsidR="00384387">
        <w:rPr>
          <w:lang w:val="en-US" w:bidi="he-IL"/>
        </w:rPr>
        <w:t>“</w:t>
      </w:r>
      <w:r>
        <w:rPr>
          <w:lang w:val="en-US" w:bidi="he-IL"/>
        </w:rPr>
        <w:t>the number</w:t>
      </w:r>
      <w:r w:rsidR="00384387">
        <w:rPr>
          <w:lang w:val="en-US" w:bidi="he-IL"/>
        </w:rPr>
        <w:t>”</w:t>
      </w:r>
      <w:r>
        <w:rPr>
          <w:lang w:val="en-US" w:bidi="he-IL"/>
        </w:rPr>
        <w:t xml:space="preserve">, which is </w:t>
      </w:r>
      <w:r w:rsidR="00384387">
        <w:rPr>
          <w:lang w:val="en-US" w:bidi="he-IL"/>
        </w:rPr>
        <w:t xml:space="preserve">the number he was looking for, </w:t>
      </w:r>
      <w:r>
        <w:rPr>
          <w:lang w:val="en-US" w:bidi="he-IL"/>
        </w:rPr>
        <w:t>is indeed nine. This is a</w:t>
      </w:r>
      <w:r w:rsidR="00C605D9">
        <w:rPr>
          <w:lang w:val="en-US" w:bidi="he-IL"/>
        </w:rPr>
        <w:t>n explicit</w:t>
      </w:r>
      <w:r>
        <w:rPr>
          <w:lang w:val="en-US" w:bidi="he-IL"/>
        </w:rPr>
        <w:t xml:space="preserve"> verbal narrative about a generalized number. </w:t>
      </w:r>
    </w:p>
    <w:p w14:paraId="6858A8D8" w14:textId="58E9A835" w:rsidR="002842DA" w:rsidRPr="00FE4E2C" w:rsidRDefault="00047ED1" w:rsidP="0025314B">
      <w:pPr>
        <w:pStyle w:val="PMENormal"/>
      </w:pPr>
      <w:r>
        <w:rPr>
          <w:lang w:val="en-US" w:bidi="he-IL"/>
        </w:rPr>
        <w:t xml:space="preserve">When requested to provide an explanation to his solution, </w:t>
      </w:r>
      <w:r w:rsidR="00B37AF6">
        <w:rPr>
          <w:lang w:val="en-US" w:bidi="he-IL"/>
        </w:rPr>
        <w:t xml:space="preserve">Alon </w:t>
      </w:r>
      <w:r>
        <w:rPr>
          <w:lang w:val="en-US" w:bidi="he-IL"/>
        </w:rPr>
        <w:t>explains</w:t>
      </w:r>
    </w:p>
    <w:p w14:paraId="2AF7327D" w14:textId="16E6E108" w:rsidR="002842DA" w:rsidRPr="002842DA" w:rsidRDefault="002842DA" w:rsidP="002842DA">
      <w:pPr>
        <w:pStyle w:val="PMENumberedtranscript"/>
      </w:pPr>
      <w:r w:rsidRPr="00FE4E2C">
        <w:t>5</w:t>
      </w:r>
      <w:r w:rsidRPr="00FE4E2C">
        <w:tab/>
        <w:t>Alon</w:t>
      </w:r>
      <w:r>
        <w:t>:</w:t>
      </w:r>
      <w:r w:rsidRPr="00FE4E2C">
        <w:tab/>
        <w:t xml:space="preserve">I gave the number an unknown which is x, </w:t>
      </w:r>
    </w:p>
    <w:p w14:paraId="57E72EBA" w14:textId="15D5556F" w:rsidR="00855FF4" w:rsidRDefault="00047ED1" w:rsidP="00272BC0">
      <w:pPr>
        <w:pStyle w:val="PMENormal"/>
        <w:rPr>
          <w:rtl/>
          <w:lang w:val="en-US" w:bidi="he-IL"/>
        </w:rPr>
      </w:pPr>
      <w:r>
        <w:rPr>
          <w:lang w:val="en-US" w:bidi="he-IL"/>
        </w:rPr>
        <w:t>Here we see</w:t>
      </w:r>
      <w:r w:rsidR="00270EEB">
        <w:rPr>
          <w:lang w:val="en-US" w:bidi="he-IL"/>
        </w:rPr>
        <w:t xml:space="preserve"> a narrative about the same </w:t>
      </w:r>
      <w:r w:rsidR="0046282D">
        <w:rPr>
          <w:lang w:val="en-US" w:bidi="he-IL"/>
        </w:rPr>
        <w:t>“number”</w:t>
      </w:r>
      <w:r>
        <w:rPr>
          <w:lang w:val="en-US" w:bidi="he-IL"/>
        </w:rPr>
        <w:t xml:space="preserve"> which Alon previously </w:t>
      </w:r>
      <w:r w:rsidR="00B67C2A">
        <w:rPr>
          <w:lang w:val="en-US" w:bidi="he-IL"/>
        </w:rPr>
        <w:t>recalled</w:t>
      </w:r>
      <w:r>
        <w:rPr>
          <w:lang w:val="en-US" w:bidi="he-IL"/>
        </w:rPr>
        <w:t xml:space="preserve"> was “nine” and which is associated with the “number I thought of” in the problem </w:t>
      </w:r>
      <w:proofErr w:type="gramStart"/>
      <w:r>
        <w:rPr>
          <w:lang w:val="en-US" w:bidi="he-IL"/>
        </w:rPr>
        <w:t>text</w:t>
      </w:r>
      <w:r w:rsidR="00384387">
        <w:rPr>
          <w:lang w:val="en-US" w:bidi="he-IL"/>
        </w:rPr>
        <w:t xml:space="preserve">, </w:t>
      </w:r>
      <w:r w:rsidR="00693133">
        <w:rPr>
          <w:lang w:val="en-US" w:bidi="he-IL"/>
        </w:rPr>
        <w:t>yet</w:t>
      </w:r>
      <w:proofErr w:type="gramEnd"/>
      <w:r w:rsidR="00693133">
        <w:rPr>
          <w:lang w:val="en-US" w:bidi="he-IL"/>
        </w:rPr>
        <w:t xml:space="preserve"> is</w:t>
      </w:r>
      <w:r w:rsidR="00C605D9">
        <w:rPr>
          <w:lang w:val="en-US" w:bidi="he-IL"/>
        </w:rPr>
        <w:t xml:space="preserve"> also</w:t>
      </w:r>
      <w:r w:rsidR="00384387">
        <w:rPr>
          <w:lang w:val="en-US" w:bidi="he-IL"/>
        </w:rPr>
        <w:t xml:space="preserve"> symbolically mediated</w:t>
      </w:r>
      <w:r w:rsidR="0046282D">
        <w:rPr>
          <w:lang w:val="en-US" w:bidi="he-IL"/>
        </w:rPr>
        <w:t>.</w:t>
      </w:r>
      <w:r w:rsidR="00270EEB">
        <w:rPr>
          <w:lang w:val="en-US" w:bidi="he-IL"/>
        </w:rPr>
        <w:t xml:space="preserve"> </w:t>
      </w:r>
      <w:r w:rsidR="00B67C2A">
        <w:rPr>
          <w:lang w:val="en-US" w:bidi="he-IL"/>
        </w:rPr>
        <w:t>Most of</w:t>
      </w:r>
      <w:r w:rsidR="002842DA">
        <w:rPr>
          <w:lang w:val="en-US" w:bidi="he-IL"/>
        </w:rPr>
        <w:t xml:space="preserve"> Alon’s </w:t>
      </w:r>
      <w:r>
        <w:rPr>
          <w:lang w:val="en-US" w:bidi="he-IL"/>
        </w:rPr>
        <w:t xml:space="preserve">explanation </w:t>
      </w:r>
      <w:r w:rsidR="00384387">
        <w:rPr>
          <w:lang w:val="en-US" w:bidi="he-IL"/>
        </w:rPr>
        <w:t xml:space="preserve">onwards </w:t>
      </w:r>
      <w:r w:rsidR="002842DA">
        <w:rPr>
          <w:lang w:val="en-US" w:bidi="he-IL"/>
        </w:rPr>
        <w:t xml:space="preserve">is devoted to </w:t>
      </w:r>
      <w:r>
        <w:rPr>
          <w:lang w:val="en-US" w:bidi="he-IL"/>
        </w:rPr>
        <w:t xml:space="preserve">describing </w:t>
      </w:r>
      <w:r w:rsidR="002842DA">
        <w:rPr>
          <w:lang w:val="en-US" w:bidi="he-IL"/>
        </w:rPr>
        <w:t>his procedure</w:t>
      </w:r>
      <w:r>
        <w:rPr>
          <w:lang w:val="en-US" w:bidi="he-IL"/>
        </w:rPr>
        <w:t xml:space="preserve"> of solving the equation</w:t>
      </w:r>
      <w:r w:rsidR="0046282D">
        <w:rPr>
          <w:lang w:val="en-US" w:bidi="he-IL"/>
        </w:rPr>
        <w:t>. It</w:t>
      </w:r>
      <w:r w:rsidR="002842DA">
        <w:rPr>
          <w:lang w:val="en-US" w:bidi="he-IL"/>
        </w:rPr>
        <w:t xml:space="preserve"> includes descriptions of each of the steps Alon performed</w:t>
      </w:r>
      <w:r w:rsidR="0046282D">
        <w:rPr>
          <w:lang w:val="en-US" w:bidi="he-IL"/>
        </w:rPr>
        <w:t xml:space="preserve"> on the various symbolic signifier</w:t>
      </w:r>
      <w:r>
        <w:rPr>
          <w:lang w:val="en-US" w:bidi="he-IL"/>
        </w:rPr>
        <w:t>s</w:t>
      </w:r>
      <w:r w:rsidR="0046282D">
        <w:rPr>
          <w:lang w:val="en-US" w:bidi="he-IL"/>
        </w:rPr>
        <w:t>.</w:t>
      </w:r>
      <w:r>
        <w:rPr>
          <w:lang w:val="en-US" w:bidi="he-IL"/>
        </w:rPr>
        <w:t xml:space="preserve"> For </w:t>
      </w:r>
      <w:r w:rsidR="00437E23">
        <w:rPr>
          <w:lang w:val="en-US" w:bidi="he-IL"/>
        </w:rPr>
        <w:t>example,</w:t>
      </w:r>
      <w:r w:rsidR="00272BC0">
        <w:rPr>
          <w:lang w:val="en-US" w:bidi="he-IL"/>
        </w:rPr>
        <w:t xml:space="preserve"> “</w:t>
      </w:r>
      <w:r w:rsidR="00272BC0" w:rsidRPr="00272BC0">
        <w:rPr>
          <w:lang w:val="en-US" w:bidi="he-IL"/>
        </w:rPr>
        <w:t>now I did… seven x…to move it (the</w:t>
      </w:r>
      <w:r w:rsidR="00693133">
        <w:rPr>
          <w:lang w:val="en-US" w:bidi="he-IL"/>
        </w:rPr>
        <w:t xml:space="preserve"> sign</w:t>
      </w:r>
      <w:r w:rsidR="00272BC0" w:rsidRPr="00272BC0">
        <w:rPr>
          <w:lang w:val="en-US" w:bidi="he-IL"/>
        </w:rPr>
        <w:t xml:space="preserve"> x on the right side</w:t>
      </w:r>
      <w:r w:rsidR="00693133">
        <w:rPr>
          <w:lang w:val="en-US" w:bidi="he-IL"/>
        </w:rPr>
        <w:t xml:space="preserve"> of the equation [2]</w:t>
      </w:r>
      <w:r w:rsidR="00272BC0" w:rsidRPr="00272BC0">
        <w:rPr>
          <w:lang w:val="en-US" w:bidi="he-IL"/>
        </w:rPr>
        <w:t>) to here (the left side)</w:t>
      </w:r>
      <w:r w:rsidR="00272BC0">
        <w:rPr>
          <w:lang w:val="en-US" w:bidi="he-IL"/>
        </w:rPr>
        <w:t>”</w:t>
      </w:r>
      <w:r w:rsidR="00437E23">
        <w:rPr>
          <w:lang w:val="en-US" w:bidi="he-IL"/>
        </w:rPr>
        <w:t xml:space="preserve"> is a description of moving the sign x from one side of the equation to the other.</w:t>
      </w:r>
      <w:r>
        <w:rPr>
          <w:lang w:val="en-US" w:bidi="he-IL"/>
        </w:rPr>
        <w:t xml:space="preserve"> </w:t>
      </w:r>
      <w:r w:rsidR="00437E23">
        <w:rPr>
          <w:rStyle w:val="CommentReference"/>
          <w:rFonts w:eastAsia="Times New Roman"/>
          <w:sz w:val="28"/>
          <w:szCs w:val="28"/>
        </w:rPr>
        <w:t>Th</w:t>
      </w:r>
      <w:r w:rsidR="0046282D">
        <w:rPr>
          <w:lang w:val="en-US" w:bidi="he-IL"/>
        </w:rPr>
        <w:t>is description does not include any narrative about a generalized number.</w:t>
      </w:r>
      <w:r w:rsidR="00384387">
        <w:rPr>
          <w:lang w:val="en-US" w:bidi="he-IL"/>
        </w:rPr>
        <w:t xml:space="preserve"> We conclude that in Alon’s discourse there are explicit narratives about both verbal and symbolic generalized numbers</w:t>
      </w:r>
      <w:r w:rsidR="00C605D9">
        <w:rPr>
          <w:lang w:val="en-US" w:bidi="he-IL"/>
        </w:rPr>
        <w:t>, although his narratives about manipulating the equation refer to empty signifiers</w:t>
      </w:r>
      <w:r w:rsidR="00384387">
        <w:rPr>
          <w:lang w:val="en-US" w:bidi="he-IL"/>
        </w:rPr>
        <w:t>.</w:t>
      </w:r>
    </w:p>
    <w:p w14:paraId="6395D219" w14:textId="2957E6F4" w:rsidR="00880677" w:rsidRDefault="000773B6" w:rsidP="000B471C">
      <w:pPr>
        <w:pStyle w:val="PMENormal"/>
        <w:rPr>
          <w:lang w:val="en-GB"/>
        </w:rPr>
      </w:pPr>
      <w:r w:rsidRPr="00650556">
        <w:rPr>
          <w:lang w:val="en-GB"/>
        </w:rPr>
        <w:t xml:space="preserve">To summarize the </w:t>
      </w:r>
      <w:r w:rsidR="00650556" w:rsidRPr="00650556">
        <w:rPr>
          <w:lang w:val="en-GB"/>
        </w:rPr>
        <w:t>findings,</w:t>
      </w:r>
      <w:r w:rsidRPr="00650556">
        <w:rPr>
          <w:lang w:val="en-GB"/>
        </w:rPr>
        <w:t xml:space="preserve"> we use the following table</w:t>
      </w:r>
      <w:r w:rsidR="00880677">
        <w:rPr>
          <w:lang w:val="en-GB"/>
        </w:rPr>
        <w:t xml:space="preserve"> (Table 1)</w:t>
      </w:r>
      <w:r w:rsidRPr="00650556">
        <w:rPr>
          <w:lang w:val="en-GB"/>
        </w:rPr>
        <w:t>:</w:t>
      </w:r>
    </w:p>
    <w:p w14:paraId="4C230350" w14:textId="020E189F" w:rsidR="00A83F06" w:rsidRPr="00DF309C" w:rsidRDefault="00A83F06" w:rsidP="00DF309C">
      <w:pPr>
        <w:pStyle w:val="PMEFigTitle"/>
        <w:rPr>
          <w:color w:val="000000" w:themeColor="text1"/>
          <w:lang w:val="en-GB"/>
        </w:rPr>
      </w:pPr>
      <w:r>
        <w:rPr>
          <w:lang w:val="en-GB"/>
        </w:rPr>
        <w:t>Table 1: Narratives and Canonical Procedures in Students’ Discourse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gridCol w:w="1924"/>
        <w:gridCol w:w="1925"/>
      </w:tblGrid>
      <w:tr w:rsidR="000773B6" w:rsidRPr="00A77BEB" w14:paraId="17863AE0" w14:textId="77777777" w:rsidTr="007F2D51">
        <w:tc>
          <w:tcPr>
            <w:tcW w:w="1924" w:type="dxa"/>
            <w:tcBorders>
              <w:top w:val="single" w:sz="4" w:space="0" w:color="auto"/>
              <w:bottom w:val="single" w:sz="4" w:space="0" w:color="auto"/>
            </w:tcBorders>
          </w:tcPr>
          <w:p w14:paraId="7B2AA860" w14:textId="33C3AFDC" w:rsidR="000773B6" w:rsidRPr="00A77BEB" w:rsidRDefault="000773B6" w:rsidP="00650556">
            <w:pPr>
              <w:pStyle w:val="PMENormal"/>
              <w:jc w:val="center"/>
              <w:rPr>
                <w:rFonts w:asciiTheme="majorBidi" w:hAnsiTheme="majorBidi" w:cstheme="majorBidi"/>
                <w:lang w:val="en-GB"/>
              </w:rPr>
            </w:pPr>
            <w:r w:rsidRPr="00A77BEB">
              <w:rPr>
                <w:rFonts w:asciiTheme="majorBidi" w:hAnsiTheme="majorBidi" w:cstheme="majorBidi"/>
                <w:lang w:val="en-GB"/>
              </w:rPr>
              <w:t>student</w:t>
            </w:r>
          </w:p>
        </w:tc>
        <w:tc>
          <w:tcPr>
            <w:tcW w:w="1924" w:type="dxa"/>
            <w:tcBorders>
              <w:top w:val="single" w:sz="4" w:space="0" w:color="auto"/>
              <w:bottom w:val="single" w:sz="4" w:space="0" w:color="auto"/>
            </w:tcBorders>
          </w:tcPr>
          <w:p w14:paraId="2E8A6C6D" w14:textId="1F564956" w:rsidR="000773B6" w:rsidRPr="00880677" w:rsidRDefault="000773B6" w:rsidP="00650556">
            <w:pPr>
              <w:pStyle w:val="PMENormal"/>
              <w:jc w:val="center"/>
              <w:rPr>
                <w:rFonts w:asciiTheme="majorBidi" w:hAnsiTheme="majorBidi" w:cstheme="majorBidi"/>
                <w:vertAlign w:val="superscript"/>
                <w:lang w:val="en-GB"/>
              </w:rPr>
            </w:pPr>
            <w:r w:rsidRPr="00A77BEB">
              <w:rPr>
                <w:rFonts w:asciiTheme="majorBidi" w:hAnsiTheme="majorBidi" w:cstheme="majorBidi"/>
                <w:lang w:val="en-GB"/>
              </w:rPr>
              <w:t>Narrative about specific numbers</w:t>
            </w:r>
            <w:r w:rsidR="00F34249">
              <w:rPr>
                <w:rFonts w:asciiTheme="majorBidi" w:hAnsiTheme="majorBidi" w:cstheme="majorBidi"/>
                <w:lang w:val="en-GB"/>
              </w:rPr>
              <w:t xml:space="preserve"> </w:t>
            </w:r>
          </w:p>
        </w:tc>
        <w:tc>
          <w:tcPr>
            <w:tcW w:w="1924" w:type="dxa"/>
            <w:tcBorders>
              <w:top w:val="single" w:sz="4" w:space="0" w:color="auto"/>
              <w:bottom w:val="single" w:sz="4" w:space="0" w:color="auto"/>
            </w:tcBorders>
          </w:tcPr>
          <w:p w14:paraId="0F6E6DB0" w14:textId="7973FD27" w:rsidR="000773B6" w:rsidRPr="00A77BEB" w:rsidRDefault="000773B6" w:rsidP="00650556">
            <w:pPr>
              <w:pStyle w:val="PMENormal"/>
              <w:jc w:val="center"/>
              <w:rPr>
                <w:rFonts w:asciiTheme="majorBidi" w:hAnsiTheme="majorBidi" w:cstheme="majorBidi"/>
                <w:lang w:val="en-GB"/>
              </w:rPr>
            </w:pPr>
            <w:r w:rsidRPr="00A77BEB">
              <w:rPr>
                <w:rFonts w:asciiTheme="majorBidi" w:hAnsiTheme="majorBidi" w:cstheme="majorBidi"/>
                <w:lang w:val="en-GB"/>
              </w:rPr>
              <w:t>Narrative about verbal generalized numbers</w:t>
            </w:r>
          </w:p>
        </w:tc>
        <w:tc>
          <w:tcPr>
            <w:tcW w:w="1924" w:type="dxa"/>
            <w:tcBorders>
              <w:top w:val="single" w:sz="4" w:space="0" w:color="auto"/>
              <w:bottom w:val="single" w:sz="4" w:space="0" w:color="auto"/>
            </w:tcBorders>
          </w:tcPr>
          <w:p w14:paraId="1A72B57B" w14:textId="71C3B66E" w:rsidR="000773B6" w:rsidRPr="00A77BEB" w:rsidRDefault="000773B6" w:rsidP="00650556">
            <w:pPr>
              <w:pStyle w:val="PMENormal"/>
              <w:jc w:val="center"/>
              <w:rPr>
                <w:rFonts w:asciiTheme="majorBidi" w:hAnsiTheme="majorBidi" w:cstheme="majorBidi"/>
                <w:lang w:val="en-GB"/>
              </w:rPr>
            </w:pPr>
            <w:r w:rsidRPr="00A77BEB">
              <w:rPr>
                <w:rFonts w:asciiTheme="majorBidi" w:hAnsiTheme="majorBidi" w:cstheme="majorBidi"/>
                <w:lang w:val="en-GB"/>
              </w:rPr>
              <w:t>Narrative about symbolic generalized numbers</w:t>
            </w:r>
          </w:p>
        </w:tc>
        <w:tc>
          <w:tcPr>
            <w:tcW w:w="1925" w:type="dxa"/>
            <w:tcBorders>
              <w:top w:val="single" w:sz="4" w:space="0" w:color="auto"/>
              <w:bottom w:val="single" w:sz="4" w:space="0" w:color="auto"/>
            </w:tcBorders>
          </w:tcPr>
          <w:p w14:paraId="3DA90088" w14:textId="343B4C02" w:rsidR="000773B6" w:rsidRPr="00A77BEB" w:rsidRDefault="000773B6" w:rsidP="00650556">
            <w:pPr>
              <w:pStyle w:val="PMENormal"/>
              <w:jc w:val="center"/>
              <w:rPr>
                <w:rFonts w:asciiTheme="majorBidi" w:hAnsiTheme="majorBidi" w:cstheme="majorBidi"/>
                <w:lang w:val="en-GB"/>
              </w:rPr>
            </w:pPr>
            <w:r w:rsidRPr="00A77BEB">
              <w:rPr>
                <w:rFonts w:asciiTheme="majorBidi" w:hAnsiTheme="majorBidi" w:cstheme="majorBidi"/>
                <w:lang w:val="en-GB"/>
              </w:rPr>
              <w:t>Canonical symbolic</w:t>
            </w:r>
            <w:r w:rsidR="00E143F6">
              <w:rPr>
                <w:rFonts w:asciiTheme="majorBidi" w:hAnsiTheme="majorBidi" w:cstheme="majorBidi"/>
                <w:lang w:val="en-GB"/>
              </w:rPr>
              <w:t>ally</w:t>
            </w:r>
            <w:r w:rsidRPr="00A77BEB">
              <w:rPr>
                <w:rFonts w:asciiTheme="majorBidi" w:hAnsiTheme="majorBidi" w:cstheme="majorBidi"/>
                <w:lang w:val="en-GB"/>
              </w:rPr>
              <w:t xml:space="preserve"> </w:t>
            </w:r>
            <w:r w:rsidR="00E143F6">
              <w:rPr>
                <w:rFonts w:asciiTheme="majorBidi" w:hAnsiTheme="majorBidi" w:cstheme="majorBidi"/>
                <w:lang w:val="en-GB"/>
              </w:rPr>
              <w:t>mediated</w:t>
            </w:r>
            <w:r w:rsidR="00E143F6" w:rsidRPr="00A77BEB">
              <w:rPr>
                <w:rFonts w:asciiTheme="majorBidi" w:hAnsiTheme="majorBidi" w:cstheme="majorBidi"/>
                <w:lang w:val="en-GB"/>
              </w:rPr>
              <w:t xml:space="preserve"> </w:t>
            </w:r>
            <w:r w:rsidRPr="00A77BEB">
              <w:rPr>
                <w:rFonts w:asciiTheme="majorBidi" w:hAnsiTheme="majorBidi" w:cstheme="majorBidi"/>
                <w:lang w:val="en-GB"/>
              </w:rPr>
              <w:t>procedure</w:t>
            </w:r>
          </w:p>
        </w:tc>
      </w:tr>
      <w:tr w:rsidR="007F2D51" w:rsidRPr="00A77BEB" w14:paraId="39490ED2" w14:textId="77777777" w:rsidTr="007F2D51">
        <w:tc>
          <w:tcPr>
            <w:tcW w:w="1924" w:type="dxa"/>
            <w:tcBorders>
              <w:top w:val="single" w:sz="4" w:space="0" w:color="auto"/>
            </w:tcBorders>
          </w:tcPr>
          <w:p w14:paraId="78F4652F" w14:textId="33B85620"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Mika</w:t>
            </w:r>
          </w:p>
        </w:tc>
        <w:tc>
          <w:tcPr>
            <w:tcW w:w="1924" w:type="dxa"/>
            <w:tcBorders>
              <w:top w:val="single" w:sz="4" w:space="0" w:color="auto"/>
            </w:tcBorders>
          </w:tcPr>
          <w:p w14:paraId="52DAC0EC" w14:textId="41CCE56A"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Borders>
              <w:top w:val="single" w:sz="4" w:space="0" w:color="auto"/>
            </w:tcBorders>
          </w:tcPr>
          <w:p w14:paraId="2D27F986" w14:textId="6B1F7393"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r w:rsidR="00B67C2A">
              <w:rPr>
                <w:rFonts w:asciiTheme="majorBidi" w:hAnsiTheme="majorBidi" w:cstheme="majorBidi"/>
                <w:lang w:val="en-GB"/>
              </w:rPr>
              <w:t>/</w:t>
            </w:r>
            <w:r w:rsidR="00B67C2A">
              <w:rPr>
                <w:rFonts w:ascii="Times New Roman" w:hAnsi="Times New Roman" w:cs="Times New Roman"/>
                <w:lang w:val="en-GB"/>
              </w:rPr>
              <w:t>–</w:t>
            </w:r>
          </w:p>
        </w:tc>
        <w:tc>
          <w:tcPr>
            <w:tcW w:w="1924" w:type="dxa"/>
            <w:tcBorders>
              <w:top w:val="single" w:sz="4" w:space="0" w:color="auto"/>
            </w:tcBorders>
          </w:tcPr>
          <w:p w14:paraId="719C50B6" w14:textId="79994F35"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c>
          <w:tcPr>
            <w:tcW w:w="1925" w:type="dxa"/>
            <w:tcBorders>
              <w:top w:val="single" w:sz="4" w:space="0" w:color="auto"/>
            </w:tcBorders>
          </w:tcPr>
          <w:p w14:paraId="14D13774" w14:textId="015451E1"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r>
      <w:tr w:rsidR="007F2D51" w:rsidRPr="00A77BEB" w14:paraId="1C6540A1" w14:textId="77777777" w:rsidTr="007F2D51">
        <w:tc>
          <w:tcPr>
            <w:tcW w:w="1924" w:type="dxa"/>
          </w:tcPr>
          <w:p w14:paraId="138D5235" w14:textId="4BBDB32E"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Liat</w:t>
            </w:r>
          </w:p>
        </w:tc>
        <w:tc>
          <w:tcPr>
            <w:tcW w:w="1924" w:type="dxa"/>
          </w:tcPr>
          <w:p w14:paraId="2F9782E3" w14:textId="5F9CBE79"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Pr>
          <w:p w14:paraId="62850AD1" w14:textId="0F95EDD8"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c>
          <w:tcPr>
            <w:tcW w:w="1924" w:type="dxa"/>
          </w:tcPr>
          <w:p w14:paraId="24FCD14A" w14:textId="4888D89D"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c>
          <w:tcPr>
            <w:tcW w:w="1925" w:type="dxa"/>
          </w:tcPr>
          <w:p w14:paraId="11F5C3CD" w14:textId="16C0BF95"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r>
      <w:tr w:rsidR="007F2D51" w:rsidRPr="00A77BEB" w14:paraId="3CD7BD30" w14:textId="77777777" w:rsidTr="00650556">
        <w:tc>
          <w:tcPr>
            <w:tcW w:w="1924" w:type="dxa"/>
          </w:tcPr>
          <w:p w14:paraId="736D19F5" w14:textId="2FFE4062"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Gil</w:t>
            </w:r>
          </w:p>
        </w:tc>
        <w:tc>
          <w:tcPr>
            <w:tcW w:w="1924" w:type="dxa"/>
          </w:tcPr>
          <w:p w14:paraId="3B89B20F" w14:textId="596700F6"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Pr>
          <w:p w14:paraId="2C80AC10" w14:textId="7BC6C94C"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Pr>
          <w:p w14:paraId="5F55A7A5" w14:textId="7F558924"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c>
          <w:tcPr>
            <w:tcW w:w="1925" w:type="dxa"/>
          </w:tcPr>
          <w:p w14:paraId="740D49DE" w14:textId="562DB34F" w:rsidR="007F2D51" w:rsidRPr="00A77BEB" w:rsidRDefault="00B67C2A" w:rsidP="007F2D51">
            <w:pPr>
              <w:pStyle w:val="PMENormal"/>
              <w:jc w:val="center"/>
              <w:rPr>
                <w:rFonts w:asciiTheme="majorBidi" w:hAnsiTheme="majorBidi" w:cstheme="majorBidi"/>
                <w:rtl/>
                <w:lang w:val="en-GB" w:bidi="he-IL"/>
              </w:rPr>
            </w:pPr>
            <w:r>
              <w:rPr>
                <w:rFonts w:ascii="Times New Roman" w:hAnsi="Times New Roman" w:cs="Times New Roman"/>
                <w:lang w:val="en-GB"/>
              </w:rPr>
              <w:t>–</w:t>
            </w:r>
          </w:p>
        </w:tc>
      </w:tr>
      <w:tr w:rsidR="007F2D51" w:rsidRPr="00A77BEB" w14:paraId="34BC6E53" w14:textId="77777777" w:rsidTr="00650556">
        <w:tc>
          <w:tcPr>
            <w:tcW w:w="1924" w:type="dxa"/>
          </w:tcPr>
          <w:p w14:paraId="3B81B7B9" w14:textId="33B4C949"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Tom</w:t>
            </w:r>
          </w:p>
        </w:tc>
        <w:tc>
          <w:tcPr>
            <w:tcW w:w="1924" w:type="dxa"/>
          </w:tcPr>
          <w:p w14:paraId="7A721383" w14:textId="7F967208"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Pr>
          <w:p w14:paraId="05638A98" w14:textId="41BFF2A4"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Pr>
          <w:p w14:paraId="56C8A263" w14:textId="7AF91C4F"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5" w:type="dxa"/>
          </w:tcPr>
          <w:p w14:paraId="6A0AA081" w14:textId="14D9D16C" w:rsidR="007F2D51" w:rsidRPr="00A77BEB" w:rsidRDefault="00B67C2A" w:rsidP="007F2D51">
            <w:pPr>
              <w:pStyle w:val="PMENormal"/>
              <w:jc w:val="center"/>
              <w:rPr>
                <w:rFonts w:asciiTheme="majorBidi" w:hAnsiTheme="majorBidi" w:cstheme="majorBidi"/>
                <w:lang w:val="en-GB"/>
              </w:rPr>
            </w:pPr>
            <w:r>
              <w:rPr>
                <w:rFonts w:ascii="Times New Roman" w:hAnsi="Times New Roman" w:cs="Times New Roman"/>
                <w:lang w:val="en-GB"/>
              </w:rPr>
              <w:t>–</w:t>
            </w:r>
          </w:p>
        </w:tc>
      </w:tr>
      <w:tr w:rsidR="007F2D51" w:rsidRPr="00A77BEB" w14:paraId="60FF2301" w14:textId="77777777" w:rsidTr="00650556">
        <w:tc>
          <w:tcPr>
            <w:tcW w:w="1924" w:type="dxa"/>
            <w:tcBorders>
              <w:bottom w:val="single" w:sz="4" w:space="0" w:color="auto"/>
            </w:tcBorders>
          </w:tcPr>
          <w:p w14:paraId="33833BB9" w14:textId="197866CA"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Alon</w:t>
            </w:r>
          </w:p>
        </w:tc>
        <w:tc>
          <w:tcPr>
            <w:tcW w:w="1924" w:type="dxa"/>
            <w:tcBorders>
              <w:bottom w:val="single" w:sz="4" w:space="0" w:color="auto"/>
            </w:tcBorders>
          </w:tcPr>
          <w:p w14:paraId="4C96F250" w14:textId="49A1892D"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Borders>
              <w:bottom w:val="single" w:sz="4" w:space="0" w:color="auto"/>
            </w:tcBorders>
          </w:tcPr>
          <w:p w14:paraId="55DAB330" w14:textId="694B0F4A"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c>
          <w:tcPr>
            <w:tcW w:w="1924" w:type="dxa"/>
            <w:tcBorders>
              <w:bottom w:val="single" w:sz="4" w:space="0" w:color="auto"/>
            </w:tcBorders>
          </w:tcPr>
          <w:p w14:paraId="42192742" w14:textId="61DFAF0C" w:rsidR="007F2D51" w:rsidRPr="00A77BEB" w:rsidRDefault="00384387" w:rsidP="007F2D51">
            <w:pPr>
              <w:pStyle w:val="PMENormal"/>
              <w:jc w:val="center"/>
              <w:rPr>
                <w:rFonts w:asciiTheme="majorBidi" w:hAnsiTheme="majorBidi" w:cstheme="majorBidi"/>
                <w:lang w:val="en-GB"/>
              </w:rPr>
            </w:pPr>
            <w:r>
              <w:rPr>
                <w:rFonts w:ascii="Times New Roman" w:hAnsi="Times New Roman" w:cs="Times New Roman"/>
                <w:lang w:val="en-GB"/>
              </w:rPr>
              <w:t>+</w:t>
            </w:r>
          </w:p>
        </w:tc>
        <w:tc>
          <w:tcPr>
            <w:tcW w:w="1925" w:type="dxa"/>
            <w:tcBorders>
              <w:bottom w:val="single" w:sz="4" w:space="0" w:color="auto"/>
            </w:tcBorders>
          </w:tcPr>
          <w:p w14:paraId="5A03DB41" w14:textId="16C5154C" w:rsidR="007F2D51" w:rsidRPr="00A77BEB" w:rsidRDefault="007F2D51" w:rsidP="007F2D51">
            <w:pPr>
              <w:pStyle w:val="PMENormal"/>
              <w:jc w:val="center"/>
              <w:rPr>
                <w:rFonts w:asciiTheme="majorBidi" w:hAnsiTheme="majorBidi" w:cstheme="majorBidi"/>
                <w:lang w:val="en-GB"/>
              </w:rPr>
            </w:pPr>
            <w:r w:rsidRPr="00A77BEB">
              <w:rPr>
                <w:rFonts w:asciiTheme="majorBidi" w:hAnsiTheme="majorBidi" w:cstheme="majorBidi"/>
                <w:lang w:val="en-GB"/>
              </w:rPr>
              <w:t>+</w:t>
            </w:r>
          </w:p>
        </w:tc>
      </w:tr>
    </w:tbl>
    <w:p w14:paraId="4DACD5AC" w14:textId="27774CE0" w:rsidR="00DF309C" w:rsidRPr="00173CFD" w:rsidRDefault="00B67C2A" w:rsidP="00173CFD">
      <w:pPr>
        <w:pStyle w:val="PMENormal"/>
        <w:rPr>
          <w:lang w:val="en-GB"/>
        </w:rPr>
      </w:pPr>
      <w:r w:rsidRPr="00B67C2A">
        <w:rPr>
          <w:i/>
          <w:iCs/>
          <w:lang w:val="en-US" w:bidi="he-IL"/>
        </w:rPr>
        <w:t>Note:</w:t>
      </w:r>
      <w:r>
        <w:rPr>
          <w:lang w:val="en-US" w:bidi="he-IL"/>
        </w:rPr>
        <w:t xml:space="preserve"> + indicates explicit narrative, </w:t>
      </w:r>
      <w:r>
        <w:rPr>
          <w:lang w:val="en-GB"/>
        </w:rPr>
        <w:t>–</w:t>
      </w:r>
      <w:r>
        <w:rPr>
          <w:lang w:val="en-US" w:bidi="he-IL"/>
        </w:rPr>
        <w:t xml:space="preserve"> indicates no narrative and +/</w:t>
      </w:r>
      <w:r>
        <w:rPr>
          <w:lang w:val="en-GB"/>
        </w:rPr>
        <w:t>–</w:t>
      </w:r>
      <w:r>
        <w:rPr>
          <w:lang w:val="en-US" w:bidi="he-IL"/>
        </w:rPr>
        <w:t xml:space="preserve"> indicates implicit narrative.</w:t>
      </w:r>
      <w:r w:rsidR="00384387">
        <w:rPr>
          <w:lang w:val="en-US" w:bidi="he-IL"/>
        </w:rPr>
        <w:t xml:space="preserve"> </w:t>
      </w:r>
      <w:r w:rsidR="00384387">
        <w:rPr>
          <w:lang w:val="en-GB"/>
        </w:rPr>
        <w:t>When both implicit and explicit narratives were found we marked +.</w:t>
      </w:r>
    </w:p>
    <w:p w14:paraId="714E7A98" w14:textId="26CD0258" w:rsidR="00EE13BE" w:rsidRPr="008D0D27" w:rsidRDefault="00EE13BE" w:rsidP="00EE13BE">
      <w:pPr>
        <w:pStyle w:val="PMENormal"/>
        <w:rPr>
          <w:rtl/>
          <w:lang w:val="en-US" w:bidi="he-IL"/>
        </w:rPr>
      </w:pPr>
      <w:r>
        <w:rPr>
          <w:lang w:val="en-US" w:bidi="he-IL"/>
        </w:rPr>
        <w:t>From Table 1 we can locate the five students on a continuum from</w:t>
      </w:r>
      <w:r w:rsidR="00C605D9">
        <w:rPr>
          <w:lang w:val="en-US" w:bidi="he-IL"/>
        </w:rPr>
        <w:t xml:space="preserve"> those who authored</w:t>
      </w:r>
      <w:r>
        <w:rPr>
          <w:lang w:val="en-US" w:bidi="he-IL"/>
        </w:rPr>
        <w:t xml:space="preserve"> no narratives about generalized numbers at all (Liat) to</w:t>
      </w:r>
      <w:r w:rsidR="00C605D9">
        <w:rPr>
          <w:lang w:val="en-US" w:bidi="he-IL"/>
        </w:rPr>
        <w:t xml:space="preserve"> those who produced</w:t>
      </w:r>
      <w:r>
        <w:rPr>
          <w:lang w:val="en-US" w:bidi="he-IL"/>
        </w:rPr>
        <w:t xml:space="preserve"> narrative</w:t>
      </w:r>
      <w:r w:rsidR="00C605D9">
        <w:rPr>
          <w:lang w:val="en-US" w:bidi="he-IL"/>
        </w:rPr>
        <w:t>s</w:t>
      </w:r>
      <w:r>
        <w:rPr>
          <w:lang w:val="en-US" w:bidi="he-IL"/>
        </w:rPr>
        <w:t xml:space="preserve"> about generalized numbers that </w:t>
      </w:r>
      <w:r w:rsidR="00C605D9">
        <w:rPr>
          <w:lang w:val="en-US" w:bidi="he-IL"/>
        </w:rPr>
        <w:t xml:space="preserve">were </w:t>
      </w:r>
      <w:r>
        <w:rPr>
          <w:lang w:val="en-US" w:bidi="he-IL"/>
        </w:rPr>
        <w:t>also connected to symbolic mediators (Tom</w:t>
      </w:r>
      <w:r w:rsidR="00384387">
        <w:rPr>
          <w:lang w:val="en-US" w:bidi="he-IL"/>
        </w:rPr>
        <w:t>, Alon</w:t>
      </w:r>
      <w:r>
        <w:rPr>
          <w:lang w:val="en-US" w:bidi="he-IL"/>
        </w:rPr>
        <w:t xml:space="preserve">). We note </w:t>
      </w:r>
      <w:r w:rsidR="00384387">
        <w:rPr>
          <w:lang w:val="en-US" w:bidi="he-IL"/>
        </w:rPr>
        <w:t xml:space="preserve">that the narratives in Alon’s discourse are not only about generalized numbers (verbal and symbolic) but also </w:t>
      </w:r>
      <w:r w:rsidR="009B4629">
        <w:rPr>
          <w:lang w:val="en-US" w:bidi="he-IL"/>
        </w:rPr>
        <w:t>canonical.</w:t>
      </w:r>
      <w:r w:rsidR="00BA5D34">
        <w:rPr>
          <w:lang w:val="en-US" w:bidi="he-IL"/>
        </w:rPr>
        <w:t xml:space="preserve"> In short, the placement on a </w:t>
      </w:r>
      <w:r w:rsidR="00BA5D34">
        <w:rPr>
          <w:lang w:val="en-US" w:bidi="he-IL"/>
        </w:rPr>
        <w:lastRenderedPageBreak/>
        <w:t xml:space="preserve">continuum according to objectification of generalized numbers </w:t>
      </w:r>
      <w:r w:rsidR="00286B46">
        <w:rPr>
          <w:lang w:val="en-US" w:bidi="he-IL"/>
        </w:rPr>
        <w:t>is</w:t>
      </w:r>
      <w:r w:rsidR="00BA5D34">
        <w:rPr>
          <w:lang w:val="en-US" w:bidi="he-IL"/>
        </w:rPr>
        <w:t xml:space="preserve"> </w:t>
      </w:r>
      <w:r w:rsidR="00384387">
        <w:rPr>
          <w:lang w:val="en-US" w:bidi="he-IL"/>
        </w:rPr>
        <w:t xml:space="preserve">Alon, </w:t>
      </w:r>
      <w:r w:rsidR="00BA5D34" w:rsidRPr="007F2D51">
        <w:rPr>
          <w:color w:val="000000" w:themeColor="text1"/>
          <w:lang w:val="en-GB"/>
        </w:rPr>
        <w:t>Tom,</w:t>
      </w:r>
      <w:r w:rsidR="00BA5D34">
        <w:rPr>
          <w:color w:val="000000" w:themeColor="text1"/>
          <w:lang w:val="en-GB"/>
        </w:rPr>
        <w:t xml:space="preserve"> </w:t>
      </w:r>
      <w:r w:rsidR="00BA5D34" w:rsidRPr="007F2D51">
        <w:rPr>
          <w:color w:val="000000" w:themeColor="text1"/>
          <w:lang w:val="en-GB"/>
        </w:rPr>
        <w:t xml:space="preserve">Gil, </w:t>
      </w:r>
      <w:r w:rsidR="00BA5D34">
        <w:rPr>
          <w:color w:val="000000" w:themeColor="text1"/>
          <w:lang w:val="en-GB"/>
        </w:rPr>
        <w:t xml:space="preserve">Mika, </w:t>
      </w:r>
      <w:r w:rsidR="00BA5D34" w:rsidRPr="007F2D51">
        <w:rPr>
          <w:color w:val="000000" w:themeColor="text1"/>
          <w:lang w:val="en-GB"/>
        </w:rPr>
        <w:t>and finally Liat</w:t>
      </w:r>
      <w:r w:rsidR="00BA5D34">
        <w:rPr>
          <w:color w:val="000000" w:themeColor="text1"/>
          <w:lang w:val="en-GB"/>
        </w:rPr>
        <w:t>.</w:t>
      </w:r>
    </w:p>
    <w:p w14:paraId="1BB33A19" w14:textId="7F2A8DB3" w:rsidR="007307C0" w:rsidRPr="007307C0" w:rsidRDefault="007307C0" w:rsidP="00B33F72">
      <w:pPr>
        <w:pStyle w:val="PMEHeading2"/>
        <w:rPr>
          <w:color w:val="000000" w:themeColor="text1"/>
          <w:lang w:val="en-GB"/>
        </w:rPr>
      </w:pPr>
      <w:r w:rsidRPr="007307C0">
        <w:rPr>
          <w:color w:val="000000" w:themeColor="text1"/>
          <w:lang w:val="en-GB"/>
        </w:rPr>
        <w:t>Discussion and Conclusions</w:t>
      </w:r>
    </w:p>
    <w:p w14:paraId="2747914E" w14:textId="615A0B08" w:rsidR="0097392C" w:rsidRDefault="009C6AF1" w:rsidP="00CE2432">
      <w:pPr>
        <w:pStyle w:val="PMENormal"/>
        <w:rPr>
          <w:color w:val="000000" w:themeColor="text1"/>
          <w:lang w:val="en-GB"/>
        </w:rPr>
      </w:pPr>
      <w:r>
        <w:rPr>
          <w:color w:val="000000" w:themeColor="text1"/>
          <w:lang w:val="en-GB"/>
        </w:rPr>
        <w:t xml:space="preserve">Our goal in this study was to suggest a methodological tool for differentiating levels of objectification in students’ algebraic discourse, focusing on the objectification of generalized numbers, or variable/unknown. Applying this methodological tool to the discourse of five students, we found that it enabled us to place the students’ </w:t>
      </w:r>
      <w:r w:rsidR="00C502DD">
        <w:rPr>
          <w:color w:val="000000" w:themeColor="text1"/>
          <w:lang w:val="en-GB"/>
        </w:rPr>
        <w:t xml:space="preserve">solutions </w:t>
      </w:r>
      <w:r w:rsidR="00C502DD" w:rsidRPr="007F2D51">
        <w:rPr>
          <w:color w:val="000000" w:themeColor="text1"/>
          <w:lang w:val="en-GB"/>
        </w:rPr>
        <w:t>on</w:t>
      </w:r>
      <w:r w:rsidR="007307C0" w:rsidRPr="007F2D51">
        <w:rPr>
          <w:color w:val="000000" w:themeColor="text1"/>
          <w:lang w:val="en-GB"/>
        </w:rPr>
        <w:t xml:space="preserve"> a continuum</w:t>
      </w:r>
      <w:r w:rsidR="00BA5D34">
        <w:rPr>
          <w:color w:val="000000" w:themeColor="text1"/>
          <w:lang w:val="en-GB"/>
        </w:rPr>
        <w:t>, even though in terms of school mathematics, most of these students’ solutions could not be considered as canonical</w:t>
      </w:r>
      <w:r w:rsidR="00384387">
        <w:rPr>
          <w:color w:val="000000" w:themeColor="text1"/>
          <w:lang w:val="en-GB"/>
        </w:rPr>
        <w:t xml:space="preserve"> in the algebraic discourse</w:t>
      </w:r>
      <w:r w:rsidR="00BA5D34">
        <w:rPr>
          <w:color w:val="000000" w:themeColor="text1"/>
          <w:lang w:val="en-GB"/>
        </w:rPr>
        <w:t>. In that sense, our</w:t>
      </w:r>
      <w:r w:rsidR="0097392C">
        <w:rPr>
          <w:color w:val="000000" w:themeColor="text1"/>
          <w:lang w:val="en-GB"/>
        </w:rPr>
        <w:t xml:space="preserve"> analysis unveiled phenomena that might be at odds with common assessment practices. For example, in Liat’s discourse </w:t>
      </w:r>
      <w:r w:rsidR="00BA5D34">
        <w:rPr>
          <w:color w:val="000000" w:themeColor="text1"/>
          <w:lang w:val="en-GB"/>
        </w:rPr>
        <w:t xml:space="preserve">we found </w:t>
      </w:r>
      <w:r w:rsidR="0097392C">
        <w:rPr>
          <w:color w:val="000000" w:themeColor="text1"/>
          <w:lang w:val="en-GB"/>
        </w:rPr>
        <w:t xml:space="preserve">various symbolic mediators, </w:t>
      </w:r>
      <w:r w:rsidR="001C021A">
        <w:rPr>
          <w:color w:val="000000" w:themeColor="text1"/>
          <w:lang w:val="en-GB"/>
        </w:rPr>
        <w:t>yet these symbols never functioned as labels of generalized numbers or parts of stories about</w:t>
      </w:r>
      <w:r w:rsidR="0097392C">
        <w:rPr>
          <w:color w:val="000000" w:themeColor="text1"/>
          <w:lang w:val="en-GB"/>
        </w:rPr>
        <w:t xml:space="preserve">. Her </w:t>
      </w:r>
      <w:r w:rsidR="001C021A">
        <w:rPr>
          <w:color w:val="000000" w:themeColor="text1"/>
          <w:lang w:val="en-GB"/>
        </w:rPr>
        <w:t xml:space="preserve">algebraic discourse </w:t>
      </w:r>
      <w:r w:rsidR="00BA5D34">
        <w:rPr>
          <w:color w:val="000000" w:themeColor="text1"/>
          <w:lang w:val="en-GB"/>
        </w:rPr>
        <w:t xml:space="preserve">was </w:t>
      </w:r>
      <w:r w:rsidR="0097392C">
        <w:rPr>
          <w:color w:val="000000" w:themeColor="text1"/>
          <w:lang w:val="en-GB"/>
        </w:rPr>
        <w:t xml:space="preserve">therefore </w:t>
      </w:r>
      <w:r w:rsidR="001C021A">
        <w:rPr>
          <w:color w:val="000000" w:themeColor="text1"/>
          <w:lang w:val="en-GB"/>
        </w:rPr>
        <w:t xml:space="preserve">purely syntactic, or </w:t>
      </w:r>
      <w:r w:rsidR="0097392C">
        <w:rPr>
          <w:color w:val="000000" w:themeColor="text1"/>
          <w:lang w:val="en-GB"/>
        </w:rPr>
        <w:t>ritual</w:t>
      </w:r>
      <w:r w:rsidR="00BA5D34">
        <w:rPr>
          <w:color w:val="000000" w:themeColor="text1"/>
          <w:lang w:val="en-GB"/>
        </w:rPr>
        <w:t xml:space="preserve"> (</w:t>
      </w:r>
      <w:proofErr w:type="spellStart"/>
      <w:r w:rsidR="00BA5D34">
        <w:rPr>
          <w:color w:val="000000" w:themeColor="text1"/>
          <w:lang w:val="en-GB"/>
        </w:rPr>
        <w:t>Bacc</w:t>
      </w:r>
      <w:r w:rsidR="003742E0">
        <w:rPr>
          <w:color w:val="000000" w:themeColor="text1"/>
          <w:lang w:val="en-GB"/>
        </w:rPr>
        <w:t>a</w:t>
      </w:r>
      <w:r w:rsidR="00BA5D34">
        <w:rPr>
          <w:color w:val="000000" w:themeColor="text1"/>
          <w:lang w:val="en-GB"/>
        </w:rPr>
        <w:t>glini</w:t>
      </w:r>
      <w:proofErr w:type="spellEnd"/>
      <w:r w:rsidR="00BA5D34">
        <w:rPr>
          <w:color w:val="000000" w:themeColor="text1"/>
          <w:lang w:val="en-GB"/>
        </w:rPr>
        <w:t>-Frank, 2021)</w:t>
      </w:r>
      <w:r w:rsidR="0097392C">
        <w:rPr>
          <w:color w:val="000000" w:themeColor="text1"/>
          <w:lang w:val="en-GB"/>
        </w:rPr>
        <w:t xml:space="preserve">. </w:t>
      </w:r>
      <w:r w:rsidR="00BA5D34">
        <w:rPr>
          <w:color w:val="000000" w:themeColor="text1"/>
          <w:lang w:val="en-GB"/>
        </w:rPr>
        <w:t>In contrast, we saw that students’ discourse which, at first looked purely “arithmetic” (such as Mika’s), could include implied narratives about generalized numbers</w:t>
      </w:r>
      <w:r w:rsidR="001C021A">
        <w:rPr>
          <w:color w:val="000000" w:themeColor="text1"/>
          <w:lang w:val="en-GB"/>
        </w:rPr>
        <w:t>, which at the least enabled the student to translate the story told in the problem’s text, to a meaningful story about specific numbers</w:t>
      </w:r>
      <w:r w:rsidR="00BA5D34">
        <w:rPr>
          <w:color w:val="000000" w:themeColor="text1"/>
          <w:lang w:val="en-GB"/>
        </w:rPr>
        <w:t>. We thus conclude that d</w:t>
      </w:r>
      <w:r w:rsidR="00DE1E2F">
        <w:rPr>
          <w:color w:val="000000" w:themeColor="text1"/>
          <w:lang w:val="en-GB"/>
        </w:rPr>
        <w:t>espite</w:t>
      </w:r>
      <w:r w:rsidR="003021A1">
        <w:rPr>
          <w:color w:val="000000" w:themeColor="text1"/>
          <w:lang w:val="en-GB"/>
        </w:rPr>
        <w:t xml:space="preserve"> </w:t>
      </w:r>
      <w:r w:rsidR="001C021A">
        <w:rPr>
          <w:color w:val="000000" w:themeColor="text1"/>
          <w:lang w:val="en-GB"/>
        </w:rPr>
        <w:t>some students</w:t>
      </w:r>
      <w:r w:rsidR="003021A1">
        <w:rPr>
          <w:color w:val="000000" w:themeColor="text1"/>
          <w:lang w:val="en-GB"/>
        </w:rPr>
        <w:t xml:space="preserve"> </w:t>
      </w:r>
      <w:r w:rsidR="00DE1E2F">
        <w:rPr>
          <w:color w:val="000000" w:themeColor="text1"/>
          <w:lang w:val="en-GB"/>
        </w:rPr>
        <w:t xml:space="preserve">not </w:t>
      </w:r>
      <w:r w:rsidR="003021A1">
        <w:rPr>
          <w:color w:val="000000" w:themeColor="text1"/>
          <w:lang w:val="en-GB"/>
        </w:rPr>
        <w:t>using</w:t>
      </w:r>
      <w:r w:rsidR="00DE1E2F">
        <w:rPr>
          <w:color w:val="000000" w:themeColor="text1"/>
          <w:lang w:val="en-GB"/>
        </w:rPr>
        <w:t xml:space="preserve"> </w:t>
      </w:r>
      <w:r w:rsidR="00BA5D34">
        <w:rPr>
          <w:color w:val="000000" w:themeColor="text1"/>
          <w:lang w:val="en-GB"/>
        </w:rPr>
        <w:t xml:space="preserve">any </w:t>
      </w:r>
      <w:r w:rsidR="003021A1">
        <w:rPr>
          <w:color w:val="000000" w:themeColor="text1"/>
          <w:lang w:val="en-GB"/>
        </w:rPr>
        <w:t xml:space="preserve">algebraic signifiers </w:t>
      </w:r>
      <w:r w:rsidR="001C021A">
        <w:rPr>
          <w:color w:val="000000" w:themeColor="text1"/>
          <w:lang w:val="en-GB"/>
        </w:rPr>
        <w:t xml:space="preserve">in their </w:t>
      </w:r>
      <w:r w:rsidR="003021A1">
        <w:rPr>
          <w:color w:val="000000" w:themeColor="text1"/>
          <w:lang w:val="en-GB"/>
        </w:rPr>
        <w:t xml:space="preserve">discourse, </w:t>
      </w:r>
      <w:r w:rsidR="001C021A">
        <w:rPr>
          <w:color w:val="000000" w:themeColor="text1"/>
          <w:lang w:val="en-GB"/>
        </w:rPr>
        <w:t xml:space="preserve">their </w:t>
      </w:r>
      <w:r w:rsidR="003021A1">
        <w:rPr>
          <w:color w:val="000000" w:themeColor="text1"/>
          <w:lang w:val="en-GB"/>
        </w:rPr>
        <w:t xml:space="preserve">participation </w:t>
      </w:r>
      <w:r w:rsidR="001C021A">
        <w:rPr>
          <w:color w:val="000000" w:themeColor="text1"/>
          <w:lang w:val="en-GB"/>
        </w:rPr>
        <w:t>may be more</w:t>
      </w:r>
      <w:r w:rsidR="003021A1">
        <w:rPr>
          <w:color w:val="000000" w:themeColor="text1"/>
          <w:lang w:val="en-GB"/>
        </w:rPr>
        <w:t xml:space="preserve"> explorative than </w:t>
      </w:r>
      <w:r w:rsidR="001C021A">
        <w:rPr>
          <w:color w:val="000000" w:themeColor="text1"/>
          <w:lang w:val="en-GB"/>
        </w:rPr>
        <w:t>those who do use such signifiers, yet without any reference to generalized numbers</w:t>
      </w:r>
      <w:r w:rsidR="003021A1">
        <w:rPr>
          <w:color w:val="000000" w:themeColor="text1"/>
          <w:lang w:val="en-GB"/>
        </w:rPr>
        <w:t>.</w:t>
      </w:r>
    </w:p>
    <w:p w14:paraId="45C8A0E1" w14:textId="11C6B065" w:rsidR="007307C0" w:rsidRPr="007F2D51" w:rsidRDefault="00BA5D34" w:rsidP="00CE2432">
      <w:pPr>
        <w:pStyle w:val="PMENormal"/>
        <w:rPr>
          <w:color w:val="000000" w:themeColor="text1"/>
          <w:lang w:val="en-GB"/>
        </w:rPr>
      </w:pPr>
      <w:r>
        <w:rPr>
          <w:color w:val="000000" w:themeColor="text1"/>
          <w:lang w:val="en-GB"/>
        </w:rPr>
        <w:t>We believe our</w:t>
      </w:r>
      <w:r w:rsidR="00587161">
        <w:rPr>
          <w:color w:val="000000" w:themeColor="text1"/>
          <w:lang w:val="en-GB"/>
        </w:rPr>
        <w:t xml:space="preserve"> suggested method </w:t>
      </w:r>
      <w:r>
        <w:rPr>
          <w:color w:val="000000" w:themeColor="text1"/>
          <w:lang w:val="en-GB"/>
        </w:rPr>
        <w:t>has potential to open multiple future avenues</w:t>
      </w:r>
      <w:r w:rsidR="001C021A">
        <w:rPr>
          <w:color w:val="000000" w:themeColor="text1"/>
          <w:lang w:val="en-GB"/>
        </w:rPr>
        <w:t xml:space="preserve"> for research</w:t>
      </w:r>
      <w:r>
        <w:rPr>
          <w:color w:val="000000" w:themeColor="text1"/>
          <w:lang w:val="en-GB"/>
        </w:rPr>
        <w:t xml:space="preserve">, both </w:t>
      </w:r>
      <w:r w:rsidR="001C021A">
        <w:rPr>
          <w:color w:val="000000" w:themeColor="text1"/>
          <w:lang w:val="en-GB"/>
        </w:rPr>
        <w:t>in terms of</w:t>
      </w:r>
      <w:r>
        <w:rPr>
          <w:color w:val="000000" w:themeColor="text1"/>
          <w:lang w:val="en-GB"/>
        </w:rPr>
        <w:t xml:space="preserve"> developing additional </w:t>
      </w:r>
      <w:r w:rsidR="001C021A">
        <w:rPr>
          <w:color w:val="000000" w:themeColor="text1"/>
          <w:lang w:val="en-GB"/>
        </w:rPr>
        <w:t>parts of assessment</w:t>
      </w:r>
      <w:r>
        <w:rPr>
          <w:color w:val="000000" w:themeColor="text1"/>
          <w:lang w:val="en-GB"/>
        </w:rPr>
        <w:t xml:space="preserve"> and diagnostic tools, as well as assisting in characterizing students’ algebraic discourse as they engage in school-based tasks. This potential stems from </w:t>
      </w:r>
      <w:r w:rsidR="00093A6E">
        <w:rPr>
          <w:color w:val="000000" w:themeColor="text1"/>
          <w:lang w:val="en-GB"/>
        </w:rPr>
        <w:t>our method’s</w:t>
      </w:r>
      <w:r>
        <w:rPr>
          <w:color w:val="000000" w:themeColor="text1"/>
          <w:lang w:val="en-GB"/>
        </w:rPr>
        <w:t xml:space="preserve"> alignment with </w:t>
      </w:r>
      <w:r w:rsidR="00587161">
        <w:rPr>
          <w:color w:val="000000" w:themeColor="text1"/>
          <w:lang w:val="en-GB"/>
        </w:rPr>
        <w:t>a developmental theory</w:t>
      </w:r>
      <w:r>
        <w:rPr>
          <w:color w:val="000000" w:themeColor="text1"/>
          <w:lang w:val="en-GB"/>
        </w:rPr>
        <w:t xml:space="preserve"> of mathematical learning which does not relate just to </w:t>
      </w:r>
      <w:r w:rsidR="001C021A">
        <w:rPr>
          <w:color w:val="000000" w:themeColor="text1"/>
          <w:lang w:val="en-GB"/>
        </w:rPr>
        <w:t xml:space="preserve">beginning </w:t>
      </w:r>
      <w:r>
        <w:rPr>
          <w:color w:val="000000" w:themeColor="text1"/>
          <w:lang w:val="en-GB"/>
        </w:rPr>
        <w:t>algebra. Rather, the theoretical tools of ritual</w:t>
      </w:r>
      <w:r w:rsidR="001C021A">
        <w:rPr>
          <w:color w:val="000000" w:themeColor="text1"/>
          <w:lang w:val="en-GB"/>
        </w:rPr>
        <w:t>-exploration and objectification can (and have been) applied</w:t>
      </w:r>
      <w:r w:rsidR="00587161">
        <w:rPr>
          <w:color w:val="000000" w:themeColor="text1"/>
          <w:lang w:val="en-GB"/>
        </w:rPr>
        <w:t xml:space="preserve"> </w:t>
      </w:r>
      <w:r w:rsidR="001C021A">
        <w:rPr>
          <w:color w:val="000000" w:themeColor="text1"/>
          <w:lang w:val="en-GB"/>
        </w:rPr>
        <w:t xml:space="preserve">to multiple other topics in mathematics. </w:t>
      </w:r>
      <w:r w:rsidR="00093A6E">
        <w:rPr>
          <w:color w:val="000000" w:themeColor="text1"/>
          <w:lang w:val="en-GB"/>
        </w:rPr>
        <w:t>This method</w:t>
      </w:r>
      <w:r w:rsidR="001C021A">
        <w:rPr>
          <w:color w:val="000000" w:themeColor="text1"/>
          <w:lang w:val="en-GB"/>
        </w:rPr>
        <w:t xml:space="preserve"> </w:t>
      </w:r>
      <w:r w:rsidR="00587161">
        <w:rPr>
          <w:color w:val="000000" w:themeColor="text1"/>
          <w:lang w:val="en-GB"/>
        </w:rPr>
        <w:t xml:space="preserve">therefore </w:t>
      </w:r>
      <w:r w:rsidR="001C021A">
        <w:rPr>
          <w:color w:val="000000" w:themeColor="text1"/>
          <w:lang w:val="en-GB"/>
        </w:rPr>
        <w:t xml:space="preserve">strengthens the power of commognition </w:t>
      </w:r>
      <w:r w:rsidR="00286B46">
        <w:rPr>
          <w:color w:val="000000" w:themeColor="text1"/>
          <w:lang w:val="en-GB"/>
        </w:rPr>
        <w:t>to map</w:t>
      </w:r>
      <w:r w:rsidR="001C021A">
        <w:rPr>
          <w:color w:val="000000" w:themeColor="text1"/>
          <w:lang w:val="en-GB"/>
        </w:rPr>
        <w:t xml:space="preserve"> students’</w:t>
      </w:r>
      <w:r w:rsidR="00587161">
        <w:rPr>
          <w:color w:val="000000" w:themeColor="text1"/>
          <w:lang w:val="en-GB"/>
        </w:rPr>
        <w:t xml:space="preserve"> algebraic discourse in its various stages. </w:t>
      </w:r>
      <w:r w:rsidR="007307C0" w:rsidRPr="007F2D51">
        <w:rPr>
          <w:color w:val="000000" w:themeColor="text1"/>
          <w:lang w:val="en-GB"/>
        </w:rPr>
        <w:t xml:space="preserve">In the future, </w:t>
      </w:r>
      <w:r w:rsidR="00093A6E">
        <w:rPr>
          <w:color w:val="000000" w:themeColor="text1"/>
          <w:lang w:val="en-GB"/>
        </w:rPr>
        <w:t xml:space="preserve">it </w:t>
      </w:r>
      <w:r w:rsidR="007307C0" w:rsidRPr="007F2D51">
        <w:rPr>
          <w:color w:val="000000" w:themeColor="text1"/>
          <w:lang w:val="en-GB"/>
        </w:rPr>
        <w:t xml:space="preserve">is expected to enable mapping </w:t>
      </w:r>
      <w:r w:rsidR="00093A6E">
        <w:rPr>
          <w:color w:val="000000" w:themeColor="text1"/>
          <w:lang w:val="en-GB"/>
        </w:rPr>
        <w:t xml:space="preserve">students’ discourse </w:t>
      </w:r>
      <w:r w:rsidR="007307C0" w:rsidRPr="007F2D51">
        <w:rPr>
          <w:color w:val="000000" w:themeColor="text1"/>
          <w:lang w:val="en-GB"/>
        </w:rPr>
        <w:t>along the ritual-</w:t>
      </w:r>
      <w:r w:rsidR="00527D25">
        <w:rPr>
          <w:color w:val="000000" w:themeColor="text1"/>
          <w:lang w:val="en-GB"/>
        </w:rPr>
        <w:t>explorative</w:t>
      </w:r>
      <w:r w:rsidR="007307C0" w:rsidRPr="007F2D51">
        <w:rPr>
          <w:color w:val="000000" w:themeColor="text1"/>
          <w:lang w:val="en-GB"/>
        </w:rPr>
        <w:t xml:space="preserve"> </w:t>
      </w:r>
      <w:r w:rsidR="00527D25">
        <w:rPr>
          <w:color w:val="000000" w:themeColor="text1"/>
          <w:lang w:val="en-GB"/>
        </w:rPr>
        <w:t>continuum</w:t>
      </w:r>
      <w:r w:rsidR="007307C0" w:rsidRPr="007F2D51">
        <w:rPr>
          <w:color w:val="000000" w:themeColor="text1"/>
          <w:lang w:val="en-GB"/>
        </w:rPr>
        <w:t xml:space="preserve"> in a way that will allow quantitative </w:t>
      </w:r>
      <w:r w:rsidR="00527D25">
        <w:rPr>
          <w:color w:val="000000" w:themeColor="text1"/>
          <w:lang w:val="en-GB"/>
        </w:rPr>
        <w:t>research</w:t>
      </w:r>
      <w:r w:rsidR="007307C0" w:rsidRPr="007F2D51">
        <w:rPr>
          <w:color w:val="000000" w:themeColor="text1"/>
          <w:lang w:val="en-GB"/>
        </w:rPr>
        <w:t xml:space="preserve"> that </w:t>
      </w:r>
      <w:r w:rsidR="00527D25">
        <w:rPr>
          <w:color w:val="000000" w:themeColor="text1"/>
          <w:lang w:val="en-GB"/>
        </w:rPr>
        <w:t>enables</w:t>
      </w:r>
      <w:r w:rsidR="007307C0" w:rsidRPr="007F2D51">
        <w:rPr>
          <w:color w:val="000000" w:themeColor="text1"/>
          <w:lang w:val="en-GB"/>
        </w:rPr>
        <w:t xml:space="preserve"> comparison of students' discourse</w:t>
      </w:r>
      <w:r w:rsidR="001C021A">
        <w:rPr>
          <w:color w:val="000000" w:themeColor="text1"/>
          <w:lang w:val="en-GB"/>
        </w:rPr>
        <w:t xml:space="preserve"> over time and between students</w:t>
      </w:r>
      <w:r w:rsidR="007307C0" w:rsidRPr="007F2D51">
        <w:rPr>
          <w:color w:val="000000" w:themeColor="text1"/>
          <w:lang w:val="en-GB"/>
        </w:rPr>
        <w:t xml:space="preserve">. This will </w:t>
      </w:r>
      <w:r w:rsidR="001C021A">
        <w:rPr>
          <w:color w:val="000000" w:themeColor="text1"/>
          <w:lang w:val="en-GB"/>
        </w:rPr>
        <w:t xml:space="preserve">enable </w:t>
      </w:r>
      <w:r w:rsidR="00527D25">
        <w:rPr>
          <w:color w:val="000000" w:themeColor="text1"/>
          <w:lang w:val="en-GB"/>
        </w:rPr>
        <w:t>combin</w:t>
      </w:r>
      <w:r w:rsidR="001C021A">
        <w:rPr>
          <w:color w:val="000000" w:themeColor="text1"/>
          <w:lang w:val="en-GB"/>
        </w:rPr>
        <w:t>ing</w:t>
      </w:r>
      <w:r w:rsidR="007307C0" w:rsidRPr="007F2D51">
        <w:rPr>
          <w:color w:val="000000" w:themeColor="text1"/>
          <w:lang w:val="en-GB"/>
        </w:rPr>
        <w:t xml:space="preserve"> micro-analytical </w:t>
      </w:r>
      <w:r w:rsidR="001C021A">
        <w:rPr>
          <w:color w:val="000000" w:themeColor="text1"/>
          <w:lang w:val="en-GB"/>
        </w:rPr>
        <w:t>lense</w:t>
      </w:r>
      <w:r w:rsidR="00093A6E">
        <w:rPr>
          <w:color w:val="000000" w:themeColor="text1"/>
          <w:lang w:val="en-GB"/>
        </w:rPr>
        <w:t>s</w:t>
      </w:r>
      <w:r w:rsidR="007307C0" w:rsidRPr="007F2D51">
        <w:rPr>
          <w:color w:val="000000" w:themeColor="text1"/>
          <w:lang w:val="en-GB"/>
        </w:rPr>
        <w:t xml:space="preserve">, which </w:t>
      </w:r>
      <w:r w:rsidR="001C021A">
        <w:rPr>
          <w:color w:val="000000" w:themeColor="text1"/>
          <w:lang w:val="en-GB"/>
        </w:rPr>
        <w:t>are</w:t>
      </w:r>
      <w:r w:rsidR="001C021A" w:rsidRPr="007F2D51">
        <w:rPr>
          <w:color w:val="000000" w:themeColor="text1"/>
          <w:lang w:val="en-GB"/>
        </w:rPr>
        <w:t xml:space="preserve"> </w:t>
      </w:r>
      <w:r w:rsidR="007307C0" w:rsidRPr="007F2D51">
        <w:rPr>
          <w:color w:val="000000" w:themeColor="text1"/>
          <w:lang w:val="en-GB"/>
        </w:rPr>
        <w:t>necessary for understanding subtle changes in learning, along with broader comparisons that require quantitative tools.</w:t>
      </w:r>
    </w:p>
    <w:p w14:paraId="3CD0C2BD" w14:textId="77777777" w:rsidR="007307C0" w:rsidRPr="007307C0" w:rsidRDefault="007307C0" w:rsidP="00B33F72">
      <w:pPr>
        <w:pStyle w:val="PMEHeading2"/>
        <w:rPr>
          <w:color w:val="000000" w:themeColor="text1"/>
          <w:lang w:val="en-GB"/>
        </w:rPr>
      </w:pPr>
      <w:r w:rsidRPr="007307C0">
        <w:rPr>
          <w:color w:val="000000" w:themeColor="text1"/>
          <w:lang w:val="en-GB"/>
        </w:rPr>
        <w:t>Acknowledgements</w:t>
      </w:r>
    </w:p>
    <w:p w14:paraId="2FCB8ED3" w14:textId="21A433C2" w:rsidR="007307C0" w:rsidRPr="007307C0" w:rsidRDefault="007307C0" w:rsidP="007307C0">
      <w:pPr>
        <w:pStyle w:val="PMEReferences"/>
        <w:rPr>
          <w:color w:val="000000" w:themeColor="text1"/>
          <w:lang w:val="en-GB"/>
        </w:rPr>
      </w:pPr>
      <w:r w:rsidRPr="007307C0">
        <w:rPr>
          <w:color w:val="000000" w:themeColor="text1"/>
          <w:lang w:val="en-GB"/>
        </w:rPr>
        <w:t xml:space="preserve">The research was supported by the </w:t>
      </w:r>
      <w:r w:rsidR="006810E3">
        <w:rPr>
          <w:color w:val="000000" w:themeColor="text1"/>
          <w:lang w:val="en-GB"/>
        </w:rPr>
        <w:t>Israel</w:t>
      </w:r>
      <w:r w:rsidR="006810E3" w:rsidRPr="007307C0">
        <w:rPr>
          <w:color w:val="000000" w:themeColor="text1"/>
          <w:lang w:val="en-GB"/>
        </w:rPr>
        <w:t xml:space="preserve"> </w:t>
      </w:r>
      <w:r w:rsidRPr="007307C0">
        <w:rPr>
          <w:color w:val="000000" w:themeColor="text1"/>
          <w:lang w:val="en-GB"/>
        </w:rPr>
        <w:t>Science Foundation, Grant No. 744/20.</w:t>
      </w:r>
    </w:p>
    <w:p w14:paraId="2F32F70A" w14:textId="77777777" w:rsidR="007307C0" w:rsidRPr="007307C0" w:rsidRDefault="007307C0" w:rsidP="00B33F72">
      <w:pPr>
        <w:pStyle w:val="PMEHeading2"/>
        <w:rPr>
          <w:color w:val="000000" w:themeColor="text1"/>
          <w:lang w:val="en-GB"/>
        </w:rPr>
      </w:pPr>
      <w:r w:rsidRPr="007307C0">
        <w:rPr>
          <w:color w:val="000000" w:themeColor="text1"/>
          <w:lang w:val="en-GB"/>
        </w:rPr>
        <w:t>References</w:t>
      </w:r>
    </w:p>
    <w:p w14:paraId="11F35278" w14:textId="12A0AA20" w:rsidR="00585C9C" w:rsidRPr="000F5ED8" w:rsidRDefault="00585C9C" w:rsidP="00585C9C">
      <w:pPr>
        <w:pStyle w:val="PMEReferences"/>
      </w:pPr>
      <w:proofErr w:type="spellStart"/>
      <w:r w:rsidRPr="000F5ED8">
        <w:t>Baccaglini</w:t>
      </w:r>
      <w:proofErr w:type="spellEnd"/>
      <w:r w:rsidRPr="000F5ED8">
        <w:t xml:space="preserve">-Frank, A. (2021). To tell a story, you need a protagonist: how dynamic interactive mediators can fulfil this role and foster exploratory participation in mathematical </w:t>
      </w:r>
      <w:r w:rsidRPr="000F5ED8">
        <w:lastRenderedPageBreak/>
        <w:t xml:space="preserve">discourse. </w:t>
      </w:r>
      <w:r w:rsidRPr="000F5ED8">
        <w:rPr>
          <w:i/>
          <w:iCs/>
        </w:rPr>
        <w:t>Educational Studies in Mathematics, 106</w:t>
      </w:r>
      <w:r w:rsidRPr="000F5ED8">
        <w:t>(2), 291-312. https://doi.org/10.1007/s10649-020-10009-w</w:t>
      </w:r>
    </w:p>
    <w:p w14:paraId="53E32CE0" w14:textId="43E69B4F" w:rsidR="00CC0155" w:rsidRDefault="003E26E7" w:rsidP="003E26E7">
      <w:pPr>
        <w:pStyle w:val="PMEReferences"/>
      </w:pPr>
      <w:r w:rsidRPr="003E26E7">
        <w:t xml:space="preserve">Ben-Yehuda, M. (2003). </w:t>
      </w:r>
      <w:r w:rsidRPr="003E26E7">
        <w:rPr>
          <w:i/>
          <w:iCs/>
        </w:rPr>
        <w:t>Using discourse analysis to investigate arithmetical thinking processes of students with learning difficulties</w:t>
      </w:r>
      <w:r w:rsidRPr="003E26E7">
        <w:t xml:space="preserve"> </w:t>
      </w:r>
      <w:r>
        <w:t>[</w:t>
      </w:r>
      <w:r w:rsidRPr="003E26E7">
        <w:t>Unpublished Dissertation</w:t>
      </w:r>
      <w:r>
        <w:t>]</w:t>
      </w:r>
      <w:r w:rsidRPr="003E26E7">
        <w:t>.</w:t>
      </w:r>
      <w:r w:rsidR="00BF5996">
        <w:t xml:space="preserve"> </w:t>
      </w:r>
      <w:r w:rsidRPr="003E26E7">
        <w:t>Haifa University.</w:t>
      </w:r>
    </w:p>
    <w:p w14:paraId="4BCC4C61" w14:textId="481E77B5" w:rsidR="00CC0155" w:rsidRDefault="00CC0155" w:rsidP="00CC0155">
      <w:pPr>
        <w:pStyle w:val="PMEReferences"/>
      </w:pPr>
      <w:r w:rsidRPr="00CC0155">
        <w:t xml:space="preserve">Caspi, S., &amp; </w:t>
      </w:r>
      <w:proofErr w:type="spellStart"/>
      <w:r w:rsidRPr="00CC0155">
        <w:t>Sfard</w:t>
      </w:r>
      <w:proofErr w:type="spellEnd"/>
      <w:r w:rsidRPr="00CC0155">
        <w:t>, A. (2012). Spontaneous meta-arithmetic as a first step toward school algebra. </w:t>
      </w:r>
      <w:r w:rsidRPr="00CC0155">
        <w:rPr>
          <w:i/>
          <w:iCs/>
        </w:rPr>
        <w:t>International Journal of Educational Research</w:t>
      </w:r>
      <w:r w:rsidRPr="00CC0155">
        <w:t>, </w:t>
      </w:r>
      <w:r w:rsidRPr="00CC0155">
        <w:rPr>
          <w:i/>
          <w:iCs/>
        </w:rPr>
        <w:t>51</w:t>
      </w:r>
      <w:r w:rsidRPr="00CC0155">
        <w:t>, 45-65.</w:t>
      </w:r>
    </w:p>
    <w:p w14:paraId="3F92E601" w14:textId="688EDD4A" w:rsidR="00B33F72" w:rsidRPr="000F5ED8" w:rsidRDefault="00B33F72" w:rsidP="000F5ED8">
      <w:pPr>
        <w:pStyle w:val="PMEReferences"/>
      </w:pPr>
      <w:r w:rsidRPr="000F5ED8">
        <w:rPr>
          <w:rFonts w:hint="cs"/>
        </w:rPr>
        <w:t xml:space="preserve">Caspi, S. </w:t>
      </w:r>
      <w:r w:rsidRPr="000F5ED8">
        <w:t>(</w:t>
      </w:r>
      <w:r w:rsidRPr="000F5ED8">
        <w:rPr>
          <w:rFonts w:hint="cs"/>
        </w:rPr>
        <w:t>201</w:t>
      </w:r>
      <w:r w:rsidRPr="000F5ED8">
        <w:t>4</w:t>
      </w:r>
      <w:r w:rsidRPr="000F5ED8">
        <w:rPr>
          <w:rFonts w:hint="cs"/>
        </w:rPr>
        <w:t xml:space="preserve">). </w:t>
      </w:r>
      <w:r w:rsidRPr="000B12B5">
        <w:rPr>
          <w:i/>
          <w:iCs/>
        </w:rPr>
        <w:t>The development of algebraic discourse among junior high school students</w:t>
      </w:r>
      <w:r w:rsidRPr="000F5ED8">
        <w:t>. [Unpublished doctoral Dissertation]. Haifa University.</w:t>
      </w:r>
    </w:p>
    <w:p w14:paraId="6D909007" w14:textId="77777777" w:rsidR="00585C9C" w:rsidRPr="000F5ED8" w:rsidRDefault="00585C9C" w:rsidP="00585C9C">
      <w:pPr>
        <w:pStyle w:val="PMEReferences"/>
      </w:pPr>
      <w:r w:rsidRPr="000F5ED8">
        <w:t xml:space="preserve">Cohen, B. (2024). </w:t>
      </w:r>
      <w:proofErr w:type="spellStart"/>
      <w:r w:rsidRPr="00B96B7D">
        <w:rPr>
          <w:i/>
          <w:iCs/>
        </w:rPr>
        <w:t>Analyzing</w:t>
      </w:r>
      <w:proofErr w:type="spellEnd"/>
      <w:r w:rsidRPr="00B96B7D">
        <w:rPr>
          <w:i/>
          <w:iCs/>
        </w:rPr>
        <w:t xml:space="preserve"> the regulative discourse of students solving algebraic problems – A cognitive lens</w:t>
      </w:r>
      <w:r w:rsidRPr="000F5ED8">
        <w:t xml:space="preserve"> </w:t>
      </w:r>
      <w:r>
        <w:t xml:space="preserve">[unpublished </w:t>
      </w:r>
      <w:r w:rsidRPr="000F5ED8">
        <w:t>M.A. thesis</w:t>
      </w:r>
      <w:r>
        <w:t xml:space="preserve">]. </w:t>
      </w:r>
      <w:r w:rsidRPr="000F5ED8">
        <w:t>Technion, Israel institute of technology.</w:t>
      </w:r>
    </w:p>
    <w:p w14:paraId="32FA6F67" w14:textId="77777777" w:rsidR="00C81724" w:rsidRPr="000F5ED8" w:rsidRDefault="00C81724" w:rsidP="000F5ED8">
      <w:pPr>
        <w:pStyle w:val="PMEReferences"/>
      </w:pPr>
      <w:proofErr w:type="spellStart"/>
      <w:r w:rsidRPr="000F5ED8">
        <w:t>Heyd-Metzuyanim</w:t>
      </w:r>
      <w:proofErr w:type="spellEnd"/>
      <w:r w:rsidRPr="000F5ED8">
        <w:t xml:space="preserve">, E., Elbaum-Cohen, A., &amp; </w:t>
      </w:r>
      <w:proofErr w:type="spellStart"/>
      <w:r w:rsidRPr="000F5ED8">
        <w:t>Tabach</w:t>
      </w:r>
      <w:proofErr w:type="spellEnd"/>
      <w:r w:rsidRPr="000F5ED8">
        <w:t xml:space="preserve">, M. (2022, February). The </w:t>
      </w:r>
      <w:proofErr w:type="spellStart"/>
      <w:r w:rsidRPr="000F5ED8">
        <w:t>aRithmetic</w:t>
      </w:r>
      <w:proofErr w:type="spellEnd"/>
      <w:r w:rsidRPr="000F5ED8">
        <w:t xml:space="preserve"> Discourse Profile as a tool for evaluating students' discourse according to the ritual to explorative continuum. In</w:t>
      </w:r>
      <w:r w:rsidRPr="000F5ED8">
        <w:rPr>
          <w:i/>
          <w:iCs/>
        </w:rPr>
        <w:t> Twelfth Congress of the European Society for Research in Mathematics Education</w:t>
      </w:r>
      <w:r w:rsidRPr="000F5ED8">
        <w:t xml:space="preserve"> (CERME12) (No. 06).</w:t>
      </w:r>
    </w:p>
    <w:p w14:paraId="7CDBCF95" w14:textId="2039552C" w:rsidR="007F2925" w:rsidRDefault="007F2925" w:rsidP="000F5ED8">
      <w:pPr>
        <w:pStyle w:val="PMEReferences"/>
      </w:pPr>
      <w:r w:rsidRPr="000F5ED8">
        <w:t xml:space="preserve">Kieran, C. </w:t>
      </w:r>
      <w:r w:rsidR="00AC7AD9" w:rsidRPr="000F5ED8">
        <w:t xml:space="preserve">(2022). </w:t>
      </w:r>
      <w:r w:rsidRPr="000F5ED8">
        <w:t>The multi-dimensionality of early algebraic thinking: background, overarching dimensions, and new directions. </w:t>
      </w:r>
      <w:r w:rsidRPr="000F5ED8">
        <w:rPr>
          <w:i/>
          <w:iCs/>
        </w:rPr>
        <w:t>ZDM Mathematics Education 54</w:t>
      </w:r>
      <w:r w:rsidRPr="000F5ED8">
        <w:t xml:space="preserve">, 1131–1150 </w:t>
      </w:r>
      <w:hyperlink r:id="rId11" w:history="1">
        <w:r w:rsidR="0095033B" w:rsidRPr="001B158B">
          <w:rPr>
            <w:rStyle w:val="Hyperlink"/>
          </w:rPr>
          <w:t>https://doi.org/10.1007/s11858-022-01435-6</w:t>
        </w:r>
      </w:hyperlink>
    </w:p>
    <w:p w14:paraId="273469DD" w14:textId="35258EB4" w:rsidR="0095033B" w:rsidRPr="000F5ED8" w:rsidRDefault="0095033B" w:rsidP="0095033B">
      <w:pPr>
        <w:pStyle w:val="PMEReferences"/>
      </w:pPr>
      <w:proofErr w:type="spellStart"/>
      <w:r w:rsidRPr="0095033B">
        <w:t>Klingbeil</w:t>
      </w:r>
      <w:proofErr w:type="spellEnd"/>
      <w:r w:rsidRPr="0095033B">
        <w:t xml:space="preserve">, K., </w:t>
      </w:r>
      <w:proofErr w:type="spellStart"/>
      <w:r w:rsidRPr="0095033B">
        <w:t>Rösken</w:t>
      </w:r>
      <w:proofErr w:type="spellEnd"/>
      <w:r w:rsidRPr="0095033B">
        <w:t xml:space="preserve">, F., </w:t>
      </w:r>
      <w:proofErr w:type="spellStart"/>
      <w:r w:rsidRPr="0095033B">
        <w:t>Barzel</w:t>
      </w:r>
      <w:proofErr w:type="spellEnd"/>
      <w:r w:rsidRPr="0095033B">
        <w:t>, B., Schacht, F., Stacey, K., Steinle, V., &amp; Thurm, D. (2024). Validity of multiple-choice digital formative assessment for assessing students’(mis) conceptions: evidence from a mixed-methods study in algebra. </w:t>
      </w:r>
      <w:r w:rsidRPr="0095033B">
        <w:rPr>
          <w:i/>
          <w:iCs/>
        </w:rPr>
        <w:t>ZDM–Mathematics Education</w:t>
      </w:r>
      <w:r w:rsidRPr="0095033B">
        <w:t>,</w:t>
      </w:r>
      <w:r>
        <w:t xml:space="preserve"> </w:t>
      </w:r>
      <w:r w:rsidRPr="0095033B">
        <w:rPr>
          <w:i/>
          <w:iCs/>
        </w:rPr>
        <w:t>56</w:t>
      </w:r>
      <w:r w:rsidRPr="0095033B">
        <w:t xml:space="preserve"> 1-14.</w:t>
      </w:r>
      <w:r>
        <w:t xml:space="preserve"> </w:t>
      </w:r>
      <w:r w:rsidRPr="0095033B">
        <w:t>https://doi.org/10.1007/s11858-024-01556-0</w:t>
      </w:r>
    </w:p>
    <w:p w14:paraId="60E119EF" w14:textId="77777777" w:rsidR="007307C0" w:rsidRPr="000F5ED8" w:rsidRDefault="007307C0" w:rsidP="000F5ED8">
      <w:pPr>
        <w:pStyle w:val="PMEReferences"/>
      </w:pPr>
      <w:r w:rsidRPr="000F5ED8">
        <w:t xml:space="preserve">Lavie, I., Steiner, A., &amp; </w:t>
      </w:r>
      <w:proofErr w:type="spellStart"/>
      <w:r w:rsidRPr="000F5ED8">
        <w:t>Sfard</w:t>
      </w:r>
      <w:proofErr w:type="spellEnd"/>
      <w:r w:rsidRPr="000F5ED8">
        <w:t xml:space="preserve">, A. (2019). Routines we live by: From ritual to exploration. </w:t>
      </w:r>
      <w:r w:rsidRPr="000F5ED8">
        <w:rPr>
          <w:i/>
          <w:iCs/>
        </w:rPr>
        <w:t>Educational Studies in Mathematics, 101</w:t>
      </w:r>
      <w:r w:rsidRPr="000F5ED8">
        <w:t>(2). https://doi.org/10.1007/s10649-018-9817-4</w:t>
      </w:r>
    </w:p>
    <w:p w14:paraId="36ACE248" w14:textId="77777777" w:rsidR="007307C0" w:rsidRPr="000F5ED8" w:rsidRDefault="007307C0" w:rsidP="000F5ED8">
      <w:pPr>
        <w:pStyle w:val="PMEReferences"/>
      </w:pPr>
      <w:proofErr w:type="spellStart"/>
      <w:r w:rsidRPr="000F5ED8">
        <w:t>Sfard</w:t>
      </w:r>
      <w:proofErr w:type="spellEnd"/>
      <w:r w:rsidRPr="000F5ED8">
        <w:t xml:space="preserve">, A. (2008). </w:t>
      </w:r>
      <w:r w:rsidRPr="000F5ED8">
        <w:rPr>
          <w:i/>
          <w:iCs/>
        </w:rPr>
        <w:t>Thinking as communicating</w:t>
      </w:r>
      <w:r w:rsidRPr="000F5ED8">
        <w:t>. Cambridge University Press.</w:t>
      </w:r>
    </w:p>
    <w:p w14:paraId="29A0F92E" w14:textId="14A42FA3" w:rsidR="00D92B8B" w:rsidRDefault="007307C0" w:rsidP="000F5ED8">
      <w:pPr>
        <w:pStyle w:val="PMEReferences"/>
      </w:pPr>
      <w:r w:rsidRPr="000F5ED8">
        <w:t xml:space="preserve">Shahla </w:t>
      </w:r>
      <w:proofErr w:type="spellStart"/>
      <w:r w:rsidRPr="000F5ED8">
        <w:t>Demirdjian</w:t>
      </w:r>
      <w:proofErr w:type="spellEnd"/>
      <w:r w:rsidRPr="000F5ED8">
        <w:t xml:space="preserve">, L. (2025). </w:t>
      </w:r>
      <w:r w:rsidRPr="00B96B7D">
        <w:rPr>
          <w:i/>
          <w:iCs/>
        </w:rPr>
        <w:t>Mapping the early algebraic discourse of seventh grade students</w:t>
      </w:r>
      <w:r w:rsidRPr="000F5ED8">
        <w:t xml:space="preserve"> </w:t>
      </w:r>
      <w:r w:rsidR="00B96B7D">
        <w:t xml:space="preserve">[unpublished </w:t>
      </w:r>
      <w:r w:rsidRPr="000F5ED8">
        <w:t>M.A. thesis</w:t>
      </w:r>
      <w:r w:rsidR="00B96B7D">
        <w:t>]</w:t>
      </w:r>
      <w:r w:rsidRPr="000F5ED8">
        <w:t>. Technion, Israel institute of technology.</w:t>
      </w:r>
    </w:p>
    <w:p w14:paraId="3CAF2837" w14:textId="14EFEBA7" w:rsidR="00803023" w:rsidRDefault="00803023" w:rsidP="00803023">
      <w:pPr>
        <w:pStyle w:val="PMEReferences"/>
        <w:rPr>
          <w:lang w:val="en-US"/>
        </w:rPr>
      </w:pPr>
      <w:r w:rsidRPr="00803023">
        <w:rPr>
          <w:lang w:val="en-US"/>
        </w:rPr>
        <w:t xml:space="preserve">Stacey, K., Steinle, V., Price, B., &amp; </w:t>
      </w:r>
      <w:proofErr w:type="spellStart"/>
      <w:r w:rsidRPr="00803023">
        <w:rPr>
          <w:lang w:val="en-US"/>
        </w:rPr>
        <w:t>Gvozdenko</w:t>
      </w:r>
      <w:proofErr w:type="spellEnd"/>
      <w:r w:rsidRPr="00803023">
        <w:rPr>
          <w:lang w:val="en-US"/>
        </w:rPr>
        <w:t>, E. (2018). Specific</w:t>
      </w:r>
      <w:r>
        <w:rPr>
          <w:lang w:val="en-US"/>
        </w:rPr>
        <w:t xml:space="preserve"> </w:t>
      </w:r>
      <w:r w:rsidRPr="00803023">
        <w:rPr>
          <w:lang w:val="en-US"/>
        </w:rPr>
        <w:t>mathematics assessments that reveal thinking: An online tool to</w:t>
      </w:r>
      <w:r>
        <w:rPr>
          <w:lang w:val="en-US"/>
        </w:rPr>
        <w:t xml:space="preserve"> </w:t>
      </w:r>
      <w:r w:rsidRPr="00803023">
        <w:rPr>
          <w:lang w:val="en-US"/>
        </w:rPr>
        <w:t>build teachers’ diagnostic competence and support teaching. In T.</w:t>
      </w:r>
      <w:r>
        <w:rPr>
          <w:lang w:val="en-US"/>
        </w:rPr>
        <w:t xml:space="preserve"> </w:t>
      </w:r>
      <w:proofErr w:type="spellStart"/>
      <w:r w:rsidRPr="00803023">
        <w:rPr>
          <w:lang w:val="en-US"/>
        </w:rPr>
        <w:t>Leuders</w:t>
      </w:r>
      <w:proofErr w:type="spellEnd"/>
      <w:r w:rsidRPr="00803023">
        <w:rPr>
          <w:lang w:val="en-US"/>
        </w:rPr>
        <w:t xml:space="preserve">, J. </w:t>
      </w:r>
      <w:proofErr w:type="spellStart"/>
      <w:r w:rsidRPr="00803023">
        <w:rPr>
          <w:lang w:val="en-US"/>
        </w:rPr>
        <w:t>Leuders</w:t>
      </w:r>
      <w:proofErr w:type="spellEnd"/>
      <w:r w:rsidRPr="00803023">
        <w:rPr>
          <w:lang w:val="en-US"/>
        </w:rPr>
        <w:t xml:space="preserve">, K. Philipp, &amp; T. </w:t>
      </w:r>
      <w:proofErr w:type="spellStart"/>
      <w:r w:rsidRPr="00803023">
        <w:rPr>
          <w:lang w:val="en-US"/>
        </w:rPr>
        <w:t>Dörfler</w:t>
      </w:r>
      <w:proofErr w:type="spellEnd"/>
      <w:r w:rsidRPr="00803023">
        <w:rPr>
          <w:lang w:val="en-US"/>
        </w:rPr>
        <w:t xml:space="preserve"> (Eds.), </w:t>
      </w:r>
      <w:r w:rsidRPr="00803023">
        <w:rPr>
          <w:i/>
          <w:iCs/>
          <w:lang w:val="en-US"/>
        </w:rPr>
        <w:t>Diagnostic</w:t>
      </w:r>
      <w:r>
        <w:rPr>
          <w:lang w:val="en-US"/>
        </w:rPr>
        <w:t xml:space="preserve"> </w:t>
      </w:r>
      <w:r w:rsidRPr="00803023">
        <w:rPr>
          <w:i/>
          <w:iCs/>
          <w:lang w:val="en-US"/>
        </w:rPr>
        <w:t>competence of mathematics teachers—Unpacking a complex construct</w:t>
      </w:r>
      <w:r>
        <w:rPr>
          <w:lang w:val="en-US"/>
        </w:rPr>
        <w:t xml:space="preserve"> </w:t>
      </w:r>
      <w:r w:rsidRPr="00803023">
        <w:rPr>
          <w:i/>
          <w:iCs/>
          <w:lang w:val="en-US"/>
        </w:rPr>
        <w:t>in teacher education and teacher practice</w:t>
      </w:r>
      <w:r w:rsidRPr="00803023">
        <w:rPr>
          <w:lang w:val="en-US"/>
        </w:rPr>
        <w:t xml:space="preserve"> (pp. 241–263).</w:t>
      </w:r>
      <w:r>
        <w:rPr>
          <w:lang w:val="en-US"/>
        </w:rPr>
        <w:t xml:space="preserve"> </w:t>
      </w:r>
      <w:r w:rsidRPr="00803023">
        <w:rPr>
          <w:lang w:val="en-US"/>
        </w:rPr>
        <w:t xml:space="preserve">Springer. https:// </w:t>
      </w:r>
      <w:proofErr w:type="spellStart"/>
      <w:r w:rsidRPr="00803023">
        <w:rPr>
          <w:lang w:val="en-US"/>
        </w:rPr>
        <w:t>doi</w:t>
      </w:r>
      <w:proofErr w:type="spellEnd"/>
      <w:r w:rsidRPr="00803023">
        <w:rPr>
          <w:lang w:val="en-US"/>
        </w:rPr>
        <w:t>. org/ 10. 1007/ 978-3- 319- 66327</w:t>
      </w:r>
      <w:r>
        <w:rPr>
          <w:lang w:val="en-US"/>
        </w:rPr>
        <w:t xml:space="preserve"> </w:t>
      </w:r>
      <w:r w:rsidRPr="00803023">
        <w:rPr>
          <w:lang w:val="en-US"/>
        </w:rPr>
        <w:t>2_ 13</w:t>
      </w:r>
    </w:p>
    <w:p w14:paraId="46F777B4" w14:textId="461B5020" w:rsidR="00803023" w:rsidRPr="00803023" w:rsidRDefault="003E26E7" w:rsidP="00693133">
      <w:pPr>
        <w:pStyle w:val="PMEReferences"/>
        <w:rPr>
          <w:lang w:val="en-US"/>
        </w:rPr>
      </w:pPr>
      <w:r w:rsidRPr="003E26E7">
        <w:t xml:space="preserve">Warren, E., </w:t>
      </w:r>
      <w:proofErr w:type="spellStart"/>
      <w:r w:rsidRPr="003E26E7">
        <w:t>Trigueros</w:t>
      </w:r>
      <w:proofErr w:type="spellEnd"/>
      <w:r w:rsidRPr="003E26E7">
        <w:t xml:space="preserve">, M., &amp; </w:t>
      </w:r>
      <w:proofErr w:type="spellStart"/>
      <w:r w:rsidRPr="003E26E7">
        <w:t>Ursini</w:t>
      </w:r>
      <w:proofErr w:type="spellEnd"/>
      <w:r w:rsidRPr="003E26E7">
        <w:t>, S. (2016). Research on the learning and teaching of algebra. In </w:t>
      </w:r>
      <w:r w:rsidRPr="003E26E7">
        <w:rPr>
          <w:i/>
          <w:iCs/>
        </w:rPr>
        <w:t>The second handbook of research on the psychology of mathematics education</w:t>
      </w:r>
      <w:r w:rsidRPr="003E26E7">
        <w:t> (pp. 73-108). Brill.</w:t>
      </w:r>
    </w:p>
    <w:p w14:paraId="1247AB91" w14:textId="2656455F" w:rsidR="002860C1" w:rsidRPr="0025314B" w:rsidRDefault="002860C1" w:rsidP="0025314B">
      <w:pPr>
        <w:tabs>
          <w:tab w:val="clear" w:pos="9498"/>
        </w:tabs>
        <w:autoSpaceDE/>
        <w:autoSpaceDN/>
        <w:rPr>
          <w:rFonts w:eastAsia="PMingLiU"/>
          <w:color w:val="000000" w:themeColor="text1"/>
          <w:sz w:val="26"/>
          <w:szCs w:val="26"/>
          <w:lang w:val="en-GB"/>
        </w:rPr>
      </w:pPr>
    </w:p>
    <w:sectPr w:rsidR="002860C1" w:rsidRPr="0025314B" w:rsidSect="008E52DC">
      <w:headerReference w:type="even" r:id="rId12"/>
      <w:headerReference w:type="default" r:id="rId13"/>
      <w:footerReference w:type="even" r:id="rId14"/>
      <w:footerReference w:type="default" r:id="rId15"/>
      <w:footerReference w:type="first" r:id="rId16"/>
      <w:pgSz w:w="11899" w:h="16838" w:code="9"/>
      <w:pgMar w:top="1418" w:right="1134" w:bottom="1418" w:left="1134" w:header="709" w:footer="845"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8AA5" w14:textId="77777777" w:rsidR="00D04BC4" w:rsidRDefault="00D04BC4" w:rsidP="00071D21">
      <w:r>
        <w:separator/>
      </w:r>
    </w:p>
    <w:p w14:paraId="7D7D9628" w14:textId="77777777" w:rsidR="00D04BC4" w:rsidRDefault="00D04BC4" w:rsidP="00071D21"/>
    <w:p w14:paraId="55F681E7" w14:textId="77777777" w:rsidR="00D04BC4" w:rsidRDefault="00D04BC4" w:rsidP="00071D21"/>
    <w:p w14:paraId="6CE2610B" w14:textId="77777777" w:rsidR="00D04BC4" w:rsidRDefault="00D04BC4" w:rsidP="00071D21"/>
    <w:p w14:paraId="43B1D2F0" w14:textId="77777777" w:rsidR="00D04BC4" w:rsidRDefault="00D04BC4" w:rsidP="00071D21"/>
    <w:p w14:paraId="17F62944" w14:textId="77777777" w:rsidR="00D04BC4" w:rsidRDefault="00D04BC4" w:rsidP="00071D21"/>
    <w:p w14:paraId="5999D4A4" w14:textId="77777777" w:rsidR="00D04BC4" w:rsidRDefault="00D04BC4" w:rsidP="00071D21"/>
    <w:p w14:paraId="7D7F8798" w14:textId="77777777" w:rsidR="00D04BC4" w:rsidRDefault="00D04BC4" w:rsidP="00071D21"/>
    <w:p w14:paraId="2081C144" w14:textId="77777777" w:rsidR="00D04BC4" w:rsidRDefault="00D04BC4" w:rsidP="00071D21"/>
    <w:p w14:paraId="2CE00886" w14:textId="77777777" w:rsidR="00D04BC4" w:rsidRDefault="00D04BC4" w:rsidP="00071D21"/>
    <w:p w14:paraId="29B3C6B6" w14:textId="77777777" w:rsidR="00D04BC4" w:rsidRDefault="00D04BC4" w:rsidP="00071D21"/>
    <w:p w14:paraId="70DAF946" w14:textId="77777777" w:rsidR="00D04BC4" w:rsidRDefault="00D04BC4" w:rsidP="00071D21"/>
    <w:p w14:paraId="1B99E55F" w14:textId="77777777" w:rsidR="00D04BC4" w:rsidRDefault="00D04BC4" w:rsidP="00071D21"/>
    <w:p w14:paraId="7A013969" w14:textId="77777777" w:rsidR="00D04BC4" w:rsidRDefault="00D04BC4" w:rsidP="00071D21"/>
    <w:p w14:paraId="1C04716D" w14:textId="77777777" w:rsidR="00D04BC4" w:rsidRDefault="00D04BC4" w:rsidP="00071D21"/>
    <w:p w14:paraId="718014DF" w14:textId="77777777" w:rsidR="00D04BC4" w:rsidRDefault="00D04BC4" w:rsidP="00071D21"/>
    <w:p w14:paraId="59ADAAA4" w14:textId="77777777" w:rsidR="00D04BC4" w:rsidRDefault="00D04BC4" w:rsidP="00071D21"/>
    <w:p w14:paraId="76784A8A" w14:textId="77777777" w:rsidR="00D04BC4" w:rsidRDefault="00D04BC4" w:rsidP="00071D21"/>
    <w:p w14:paraId="7FD07EB9" w14:textId="77777777" w:rsidR="00D04BC4" w:rsidRDefault="00D04BC4" w:rsidP="00071D21"/>
    <w:p w14:paraId="7C9A834D" w14:textId="77777777" w:rsidR="00D04BC4" w:rsidRDefault="00D04BC4" w:rsidP="00071D21"/>
    <w:p w14:paraId="4EAC2A2A" w14:textId="77777777" w:rsidR="00D04BC4" w:rsidRDefault="00D04BC4" w:rsidP="00071D21"/>
    <w:p w14:paraId="3DDA7D93" w14:textId="77777777" w:rsidR="00D04BC4" w:rsidRDefault="00D04BC4" w:rsidP="00071D21"/>
    <w:p w14:paraId="021054F6" w14:textId="77777777" w:rsidR="00D04BC4" w:rsidRDefault="00D04BC4" w:rsidP="00071D21"/>
    <w:p w14:paraId="47980BB4" w14:textId="77777777" w:rsidR="00D04BC4" w:rsidRDefault="00D04BC4" w:rsidP="00071D21"/>
    <w:p w14:paraId="2F05C3EC" w14:textId="77777777" w:rsidR="00D04BC4" w:rsidRDefault="00D04BC4" w:rsidP="00071D21"/>
    <w:p w14:paraId="0B3A02D0" w14:textId="77777777" w:rsidR="00D04BC4" w:rsidRDefault="00D04BC4" w:rsidP="00071D21"/>
    <w:p w14:paraId="4B8AA361" w14:textId="77777777" w:rsidR="00D04BC4" w:rsidRDefault="00D04BC4" w:rsidP="00071D21"/>
    <w:p w14:paraId="20AA9476" w14:textId="77777777" w:rsidR="00D04BC4" w:rsidRDefault="00D04BC4" w:rsidP="00071D21"/>
    <w:p w14:paraId="4B0E2CA3" w14:textId="77777777" w:rsidR="00D04BC4" w:rsidRDefault="00D04BC4" w:rsidP="00071D21"/>
    <w:p w14:paraId="79D344C6" w14:textId="77777777" w:rsidR="00D04BC4" w:rsidRDefault="00D04BC4" w:rsidP="00071D21"/>
    <w:p w14:paraId="39025EC9" w14:textId="77777777" w:rsidR="00D04BC4" w:rsidRDefault="00D04BC4" w:rsidP="00071D21"/>
    <w:p w14:paraId="2AFB0C6E" w14:textId="77777777" w:rsidR="00D04BC4" w:rsidRDefault="00D04BC4" w:rsidP="00071D21"/>
    <w:p w14:paraId="7C188F68" w14:textId="77777777" w:rsidR="00D04BC4" w:rsidRDefault="00D04BC4" w:rsidP="00071D21"/>
    <w:p w14:paraId="55427281" w14:textId="77777777" w:rsidR="00D04BC4" w:rsidRDefault="00D04BC4" w:rsidP="00071D21"/>
    <w:p w14:paraId="712FA417" w14:textId="77777777" w:rsidR="00D04BC4" w:rsidRDefault="00D04BC4" w:rsidP="00071D21"/>
    <w:p w14:paraId="4BB6EF68" w14:textId="77777777" w:rsidR="00D04BC4" w:rsidRDefault="00D04BC4" w:rsidP="00071D21"/>
    <w:p w14:paraId="440B3595" w14:textId="77777777" w:rsidR="00D04BC4" w:rsidRDefault="00D04BC4" w:rsidP="00071D21"/>
    <w:p w14:paraId="7D1375EF" w14:textId="77777777" w:rsidR="00D04BC4" w:rsidRDefault="00D04BC4" w:rsidP="00071D21"/>
    <w:p w14:paraId="6EA045BC" w14:textId="77777777" w:rsidR="00D04BC4" w:rsidRDefault="00D04BC4"/>
  </w:endnote>
  <w:endnote w:type="continuationSeparator" w:id="0">
    <w:p w14:paraId="3F64293F" w14:textId="77777777" w:rsidR="00D04BC4" w:rsidRDefault="00D04BC4" w:rsidP="00071D21">
      <w:r>
        <w:continuationSeparator/>
      </w:r>
    </w:p>
    <w:p w14:paraId="008F3640" w14:textId="77777777" w:rsidR="00D04BC4" w:rsidRDefault="00D04BC4" w:rsidP="00071D21"/>
    <w:p w14:paraId="1120D8FE" w14:textId="77777777" w:rsidR="00D04BC4" w:rsidRDefault="00D04BC4" w:rsidP="00071D21"/>
    <w:p w14:paraId="34315467" w14:textId="77777777" w:rsidR="00D04BC4" w:rsidRDefault="00D04BC4" w:rsidP="00071D21"/>
    <w:p w14:paraId="637FC760" w14:textId="77777777" w:rsidR="00D04BC4" w:rsidRDefault="00D04BC4" w:rsidP="00071D21"/>
    <w:p w14:paraId="381088CD" w14:textId="77777777" w:rsidR="00D04BC4" w:rsidRDefault="00D04BC4" w:rsidP="00071D21"/>
    <w:p w14:paraId="6D5CF750" w14:textId="77777777" w:rsidR="00D04BC4" w:rsidRDefault="00D04BC4" w:rsidP="00071D21"/>
    <w:p w14:paraId="2288A5E9" w14:textId="77777777" w:rsidR="00D04BC4" w:rsidRDefault="00D04BC4" w:rsidP="00071D21"/>
    <w:p w14:paraId="6F519A0F" w14:textId="77777777" w:rsidR="00D04BC4" w:rsidRDefault="00D04BC4" w:rsidP="00071D21"/>
    <w:p w14:paraId="2890170E" w14:textId="77777777" w:rsidR="00D04BC4" w:rsidRDefault="00D04BC4" w:rsidP="00071D21"/>
    <w:p w14:paraId="3AD13340" w14:textId="77777777" w:rsidR="00D04BC4" w:rsidRDefault="00D04BC4" w:rsidP="00071D21"/>
    <w:p w14:paraId="06A7FCD0" w14:textId="77777777" w:rsidR="00D04BC4" w:rsidRDefault="00D04BC4" w:rsidP="00071D21"/>
    <w:p w14:paraId="759A73E0" w14:textId="77777777" w:rsidR="00D04BC4" w:rsidRDefault="00D04BC4" w:rsidP="00071D21"/>
    <w:p w14:paraId="415C610B" w14:textId="77777777" w:rsidR="00D04BC4" w:rsidRDefault="00D04BC4" w:rsidP="00071D21"/>
    <w:p w14:paraId="1003C8D4" w14:textId="77777777" w:rsidR="00D04BC4" w:rsidRDefault="00D04BC4" w:rsidP="00071D21"/>
    <w:p w14:paraId="7C3C1AB8" w14:textId="77777777" w:rsidR="00D04BC4" w:rsidRDefault="00D04BC4" w:rsidP="00071D21"/>
    <w:p w14:paraId="28D9FD68" w14:textId="77777777" w:rsidR="00D04BC4" w:rsidRDefault="00D04BC4" w:rsidP="00071D21"/>
    <w:p w14:paraId="4DDB3C4C" w14:textId="77777777" w:rsidR="00D04BC4" w:rsidRDefault="00D04BC4" w:rsidP="00071D21"/>
    <w:p w14:paraId="6EA50E51" w14:textId="77777777" w:rsidR="00D04BC4" w:rsidRDefault="00D04BC4" w:rsidP="00071D21"/>
    <w:p w14:paraId="4D232A0B" w14:textId="77777777" w:rsidR="00D04BC4" w:rsidRDefault="00D04BC4" w:rsidP="00071D21"/>
    <w:p w14:paraId="5910C222" w14:textId="77777777" w:rsidR="00D04BC4" w:rsidRDefault="00D04BC4" w:rsidP="00071D21"/>
    <w:p w14:paraId="72F47FE5" w14:textId="77777777" w:rsidR="00D04BC4" w:rsidRDefault="00D04BC4" w:rsidP="00071D21"/>
    <w:p w14:paraId="28DB6376" w14:textId="77777777" w:rsidR="00D04BC4" w:rsidRDefault="00D04BC4" w:rsidP="00071D21"/>
    <w:p w14:paraId="038375AB" w14:textId="77777777" w:rsidR="00D04BC4" w:rsidRDefault="00D04BC4" w:rsidP="00071D21"/>
    <w:p w14:paraId="6545E5C1" w14:textId="77777777" w:rsidR="00D04BC4" w:rsidRDefault="00D04BC4" w:rsidP="00071D21"/>
    <w:p w14:paraId="458C05A3" w14:textId="77777777" w:rsidR="00D04BC4" w:rsidRDefault="00D04BC4" w:rsidP="00071D21"/>
    <w:p w14:paraId="27C126F7" w14:textId="77777777" w:rsidR="00D04BC4" w:rsidRDefault="00D04BC4" w:rsidP="00071D21"/>
    <w:p w14:paraId="3800A906" w14:textId="77777777" w:rsidR="00D04BC4" w:rsidRDefault="00D04BC4" w:rsidP="00071D21"/>
    <w:p w14:paraId="0C61161D" w14:textId="77777777" w:rsidR="00D04BC4" w:rsidRDefault="00D04BC4" w:rsidP="00071D21"/>
    <w:p w14:paraId="0399FC3A" w14:textId="77777777" w:rsidR="00D04BC4" w:rsidRDefault="00D04BC4" w:rsidP="00071D21"/>
    <w:p w14:paraId="456DFE8F" w14:textId="77777777" w:rsidR="00D04BC4" w:rsidRDefault="00D04BC4" w:rsidP="00071D21"/>
    <w:p w14:paraId="27CB8459" w14:textId="77777777" w:rsidR="00D04BC4" w:rsidRDefault="00D04BC4" w:rsidP="00071D21"/>
    <w:p w14:paraId="45A1205A" w14:textId="77777777" w:rsidR="00D04BC4" w:rsidRDefault="00D04BC4" w:rsidP="00071D21"/>
    <w:p w14:paraId="5162E440" w14:textId="77777777" w:rsidR="00D04BC4" w:rsidRDefault="00D04BC4" w:rsidP="00071D21"/>
    <w:p w14:paraId="59DB56FF" w14:textId="77777777" w:rsidR="00D04BC4" w:rsidRDefault="00D04BC4" w:rsidP="00071D21"/>
    <w:p w14:paraId="4EA5561E" w14:textId="77777777" w:rsidR="00D04BC4" w:rsidRDefault="00D04BC4" w:rsidP="00071D21"/>
    <w:p w14:paraId="37E5A2CD" w14:textId="77777777" w:rsidR="00D04BC4" w:rsidRDefault="00D04BC4" w:rsidP="00071D21"/>
    <w:p w14:paraId="7FA36D82" w14:textId="77777777" w:rsidR="00D04BC4" w:rsidRDefault="00D04BC4" w:rsidP="00071D21"/>
    <w:p w14:paraId="3BAD08AA" w14:textId="77777777" w:rsidR="00D04BC4" w:rsidRDefault="00D04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CA6C" w14:textId="77777777" w:rsidR="00DB7AB3" w:rsidRDefault="00DB7AB3" w:rsidP="00DB7AB3">
    <w:pPr>
      <w:pBdr>
        <w:bottom w:val="single" w:sz="6" w:space="1" w:color="auto"/>
      </w:pBdr>
      <w:ind w:right="-8"/>
      <w:rPr>
        <w:sz w:val="4"/>
        <w:szCs w:val="4"/>
      </w:rPr>
    </w:pPr>
  </w:p>
  <w:p w14:paraId="15E24957" w14:textId="49F78C50" w:rsidR="00254A8C" w:rsidRDefault="00DB7AB3" w:rsidP="00254A8C">
    <w:pPr>
      <w:tabs>
        <w:tab w:val="right" w:pos="9639"/>
      </w:tabs>
      <w:ind w:right="-8"/>
    </w:pPr>
    <w:r>
      <w:t xml:space="preserve">1 - </w:t>
    </w:r>
    <w:r>
      <w:fldChar w:fldCharType="begin"/>
    </w:r>
    <w:r>
      <w:instrText>PAGE   \* MERGEFORMAT</w:instrText>
    </w:r>
    <w:r>
      <w:fldChar w:fldCharType="separate"/>
    </w:r>
    <w:r w:rsidR="003D4C7B" w:rsidRPr="003D4C7B">
      <w:rPr>
        <w:noProof/>
        <w:lang w:val="sv-SE"/>
      </w:rPr>
      <w:t>2</w:t>
    </w:r>
    <w:r>
      <w:fldChar w:fldCharType="end"/>
    </w:r>
    <w:r w:rsidR="00EE79AB">
      <w:tab/>
      <w:t>PME 4</w:t>
    </w:r>
    <w:r w:rsidR="002F7F94">
      <w:t>8</w:t>
    </w:r>
    <w:r w:rsidR="00EE79AB">
      <w:t xml:space="preserve"> – 202</w:t>
    </w:r>
    <w:r w:rsidR="002F7F94">
      <w:t>5</w:t>
    </w:r>
  </w:p>
  <w:p w14:paraId="7691672A" w14:textId="49DF4837" w:rsidR="00FC401C" w:rsidRPr="00254A8C" w:rsidRDefault="00DB7AB3" w:rsidP="00254A8C">
    <w:pPr>
      <w:tabs>
        <w:tab w:val="right" w:pos="9639"/>
      </w:tabs>
      <w:ind w:right="-8"/>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0494" w14:textId="77777777" w:rsidR="00DB7AB3" w:rsidRDefault="00DB7AB3" w:rsidP="00DB7AB3">
    <w:pPr>
      <w:pBdr>
        <w:bottom w:val="single" w:sz="6" w:space="1" w:color="auto"/>
      </w:pBdr>
      <w:ind w:right="-8"/>
      <w:rPr>
        <w:sz w:val="4"/>
        <w:szCs w:val="4"/>
      </w:rPr>
    </w:pPr>
  </w:p>
  <w:p w14:paraId="3E3DBAF7" w14:textId="7B028E89" w:rsidR="00FC401C" w:rsidRDefault="00EE79AB" w:rsidP="00254A8C">
    <w:pPr>
      <w:tabs>
        <w:tab w:val="right" w:pos="9639"/>
      </w:tabs>
      <w:ind w:right="-8"/>
    </w:pPr>
    <w:r>
      <w:t>PME 4</w:t>
    </w:r>
    <w:r w:rsidR="002F7F94">
      <w:t>8</w:t>
    </w:r>
    <w:r>
      <w:t xml:space="preserve"> – 202</w:t>
    </w:r>
    <w:r w:rsidR="002F7F94">
      <w:t>5</w:t>
    </w:r>
    <w:r w:rsidR="00DB7AB3">
      <w:tab/>
      <w:t xml:space="preserve">1 - </w:t>
    </w:r>
    <w:r w:rsidR="00DB7AB3">
      <w:fldChar w:fldCharType="begin"/>
    </w:r>
    <w:r w:rsidR="00DB7AB3">
      <w:instrText>PAGE   \* MERGEFORMAT</w:instrText>
    </w:r>
    <w:r w:rsidR="00DB7AB3">
      <w:fldChar w:fldCharType="separate"/>
    </w:r>
    <w:r w:rsidR="003D4C7B" w:rsidRPr="003D4C7B">
      <w:rPr>
        <w:noProof/>
        <w:lang w:val="sv-SE"/>
      </w:rPr>
      <w:t>3</w:t>
    </w:r>
    <w:r w:rsidR="00DB7AB3">
      <w:fldChar w:fldCharType="end"/>
    </w:r>
  </w:p>
  <w:p w14:paraId="5D8D0BCA" w14:textId="77777777" w:rsidR="00254A8C" w:rsidRDefault="00254A8C" w:rsidP="00254A8C">
    <w:pPr>
      <w:tabs>
        <w:tab w:val="right" w:pos="9639"/>
      </w:tabs>
      <w:ind w:right="-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BAC3" w14:textId="77777777" w:rsidR="00071D21" w:rsidRDefault="00071D21" w:rsidP="00071D21">
    <w:pPr>
      <w:pBdr>
        <w:bottom w:val="single" w:sz="6" w:space="1" w:color="auto"/>
      </w:pBdr>
      <w:ind w:right="-8"/>
      <w:rPr>
        <w:sz w:val="4"/>
        <w:szCs w:val="4"/>
      </w:rPr>
    </w:pPr>
  </w:p>
  <w:p w14:paraId="214C7B3F" w14:textId="2CD8F084" w:rsidR="00071D21" w:rsidRPr="006F6991" w:rsidRDefault="00071D21" w:rsidP="00071D21">
    <w:pPr>
      <w:tabs>
        <w:tab w:val="right" w:pos="9631"/>
      </w:tabs>
      <w:rPr>
        <w:lang w:val="es-ES"/>
      </w:rPr>
    </w:pPr>
    <w:r>
      <w:tab/>
    </w:r>
    <w:r w:rsidRPr="006F6991">
      <w:rPr>
        <w:lang w:val="es-ES"/>
      </w:rPr>
      <w:t xml:space="preserve">1 - </w:t>
    </w:r>
    <w:r w:rsidRPr="00BE0F92">
      <w:fldChar w:fldCharType="begin"/>
    </w:r>
    <w:r w:rsidRPr="006F6991">
      <w:rPr>
        <w:lang w:val="es-ES"/>
      </w:rPr>
      <w:instrText>PAGE   \* MERGEFORMAT</w:instrText>
    </w:r>
    <w:r w:rsidRPr="00BE0F92">
      <w:fldChar w:fldCharType="separate"/>
    </w:r>
    <w:r w:rsidR="003D4C7B" w:rsidRPr="003D4C7B">
      <w:rPr>
        <w:noProof/>
        <w:lang w:val="sv-SE"/>
      </w:rPr>
      <w:t>1</w:t>
    </w:r>
    <w:r w:rsidRPr="00BE0F92">
      <w:fldChar w:fldCharType="end"/>
    </w:r>
    <w:r w:rsidRPr="006F6991">
      <w:rPr>
        <w:lang w:val="es-ES"/>
      </w:rPr>
      <w:tab/>
    </w:r>
  </w:p>
  <w:p w14:paraId="37B203A1" w14:textId="4FE88B60" w:rsidR="00FC401C" w:rsidRPr="00876364" w:rsidRDefault="003D4C7B">
    <w:pPr>
      <w:rPr>
        <w:rFonts w:eastAsia="PMingLiU"/>
      </w:rPr>
    </w:pPr>
    <w:r>
      <w:rPr>
        <w:sz w:val="21"/>
        <w:szCs w:val="21"/>
        <w:lang w:val="es-ES"/>
      </w:rPr>
      <w:t>202</w:t>
    </w:r>
    <w:r w:rsidR="002F7F94">
      <w:rPr>
        <w:sz w:val="21"/>
        <w:szCs w:val="21"/>
        <w:lang w:val="es-ES"/>
      </w:rPr>
      <w:t>5</w:t>
    </w:r>
    <w:r w:rsidR="00EE79AB" w:rsidRPr="006F6991">
      <w:rPr>
        <w:sz w:val="21"/>
        <w:szCs w:val="21"/>
        <w:lang w:val="es-ES"/>
      </w:rPr>
      <w:t xml:space="preserve">. </w:t>
    </w:r>
    <w:r w:rsidR="00EE79AB" w:rsidRPr="00EE79AB">
      <w:rPr>
        <w:sz w:val="21"/>
        <w:szCs w:val="21"/>
        <w:lang w:val="es-ES"/>
      </w:rPr>
      <w:t xml:space="preserve">In C. </w:t>
    </w:r>
    <w:r w:rsidR="002F7F94">
      <w:rPr>
        <w:sz w:val="21"/>
        <w:szCs w:val="21"/>
        <w:lang w:val="es-ES"/>
      </w:rPr>
      <w:t>Cornejo et al.</w:t>
    </w:r>
    <w:r w:rsidR="00071D21" w:rsidRPr="00EE79AB">
      <w:rPr>
        <w:sz w:val="21"/>
        <w:szCs w:val="21"/>
        <w:lang w:val="es-ES"/>
      </w:rPr>
      <w:t xml:space="preserve"> (Eds.). </w:t>
    </w:r>
    <w:r w:rsidR="00EE79AB">
      <w:rPr>
        <w:i/>
        <w:sz w:val="21"/>
        <w:szCs w:val="21"/>
        <w:lang w:val="en-US"/>
      </w:rPr>
      <w:t>Proceedings of the 4</w:t>
    </w:r>
    <w:r w:rsidR="002F7F94">
      <w:rPr>
        <w:i/>
        <w:sz w:val="21"/>
        <w:szCs w:val="21"/>
        <w:lang w:val="en-US"/>
      </w:rPr>
      <w:t>8</w:t>
    </w:r>
    <w:r w:rsidR="00EE79AB">
      <w:rPr>
        <w:i/>
        <w:sz w:val="21"/>
        <w:szCs w:val="21"/>
        <w:lang w:val="en-US"/>
      </w:rPr>
      <w:t>th</w:t>
    </w:r>
    <w:r w:rsidR="00071D21" w:rsidRPr="00AB2128">
      <w:rPr>
        <w:i/>
        <w:sz w:val="21"/>
        <w:szCs w:val="21"/>
        <w:lang w:val="en-US"/>
      </w:rPr>
      <w:t xml:space="preserve"> Conference of the International Group for the Psychology of Mathematics Education</w:t>
    </w:r>
    <w:r w:rsidR="00EE79AB">
      <w:rPr>
        <w:sz w:val="21"/>
        <w:szCs w:val="21"/>
        <w:lang w:val="en-US"/>
      </w:rPr>
      <w:t>, Vol. X</w:t>
    </w:r>
    <w:r w:rsidR="002F7F94">
      <w:rPr>
        <w:sz w:val="21"/>
        <w:szCs w:val="21"/>
        <w:lang w:val="en-US"/>
      </w:rPr>
      <w:t xml:space="preserve">, </w:t>
    </w:r>
    <w:r w:rsidR="00071D21" w:rsidRPr="00AB2128">
      <w:rPr>
        <w:sz w:val="21"/>
        <w:szCs w:val="21"/>
        <w:lang w:val="en-US"/>
      </w:rPr>
      <w:t xml:space="preserve">pp. </w:t>
    </w:r>
    <w:r w:rsidR="00071D21" w:rsidRPr="00EE79AB">
      <w:rPr>
        <w:sz w:val="21"/>
        <w:szCs w:val="21"/>
        <w:lang w:val="en-GB"/>
      </w:rPr>
      <w:t>XX-YY</w:t>
    </w:r>
    <w:r w:rsidR="00C83A79">
      <w:rPr>
        <w:sz w:val="21"/>
        <w:szCs w:val="21"/>
        <w:lang w:val="en-GB"/>
      </w:rPr>
      <w:t>.</w:t>
    </w:r>
    <w:r w:rsidR="00071D21">
      <w:rPr>
        <w:sz w:val="21"/>
        <w:szCs w:val="21"/>
        <w:lang w:val="es-ES"/>
      </w:rPr>
      <w:t xml:space="preserve"> PME.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24C8" w14:textId="77777777" w:rsidR="00D04BC4" w:rsidRDefault="00D04BC4" w:rsidP="00071D21">
      <w:r>
        <w:separator/>
      </w:r>
    </w:p>
    <w:p w14:paraId="4903F661" w14:textId="77777777" w:rsidR="00D04BC4" w:rsidRDefault="00D04BC4" w:rsidP="00071D21"/>
    <w:p w14:paraId="380FCC64" w14:textId="77777777" w:rsidR="00D04BC4" w:rsidRDefault="00D04BC4" w:rsidP="00071D21"/>
    <w:p w14:paraId="5120FA69" w14:textId="77777777" w:rsidR="00D04BC4" w:rsidRDefault="00D04BC4" w:rsidP="00071D21"/>
    <w:p w14:paraId="79335F10" w14:textId="77777777" w:rsidR="00D04BC4" w:rsidRDefault="00D04BC4" w:rsidP="00071D21"/>
    <w:p w14:paraId="42D2EF9C" w14:textId="77777777" w:rsidR="00D04BC4" w:rsidRDefault="00D04BC4" w:rsidP="00071D21"/>
    <w:p w14:paraId="313F04D2" w14:textId="77777777" w:rsidR="00D04BC4" w:rsidRDefault="00D04BC4" w:rsidP="00071D21"/>
    <w:p w14:paraId="59A8BB43" w14:textId="77777777" w:rsidR="00D04BC4" w:rsidRDefault="00D04BC4" w:rsidP="00071D21"/>
    <w:p w14:paraId="3924E46A" w14:textId="77777777" w:rsidR="00D04BC4" w:rsidRDefault="00D04BC4" w:rsidP="00071D21"/>
    <w:p w14:paraId="575B7FA3" w14:textId="77777777" w:rsidR="00D04BC4" w:rsidRDefault="00D04BC4" w:rsidP="00071D21"/>
    <w:p w14:paraId="6C3C74D7" w14:textId="77777777" w:rsidR="00D04BC4" w:rsidRDefault="00D04BC4" w:rsidP="00071D21"/>
    <w:p w14:paraId="665B5A22" w14:textId="77777777" w:rsidR="00D04BC4" w:rsidRDefault="00D04BC4" w:rsidP="00071D21"/>
    <w:p w14:paraId="599DB81F" w14:textId="77777777" w:rsidR="00D04BC4" w:rsidRDefault="00D04BC4" w:rsidP="00071D21"/>
    <w:p w14:paraId="12AD5B13" w14:textId="77777777" w:rsidR="00D04BC4" w:rsidRDefault="00D04BC4" w:rsidP="00071D21"/>
    <w:p w14:paraId="1F8BAB44" w14:textId="77777777" w:rsidR="00D04BC4" w:rsidRDefault="00D04BC4" w:rsidP="00071D21"/>
    <w:p w14:paraId="4C360E7E" w14:textId="77777777" w:rsidR="00D04BC4" w:rsidRDefault="00D04BC4" w:rsidP="00071D21"/>
    <w:p w14:paraId="50D6D9DB" w14:textId="77777777" w:rsidR="00D04BC4" w:rsidRDefault="00D04BC4" w:rsidP="00071D21"/>
    <w:p w14:paraId="5D70777B" w14:textId="77777777" w:rsidR="00D04BC4" w:rsidRDefault="00D04BC4" w:rsidP="00071D21"/>
    <w:p w14:paraId="3EA48A1E" w14:textId="77777777" w:rsidR="00D04BC4" w:rsidRDefault="00D04BC4" w:rsidP="00071D21"/>
    <w:p w14:paraId="495371F8" w14:textId="77777777" w:rsidR="00D04BC4" w:rsidRDefault="00D04BC4" w:rsidP="00071D21"/>
    <w:p w14:paraId="21482577" w14:textId="77777777" w:rsidR="00D04BC4" w:rsidRDefault="00D04BC4" w:rsidP="00071D21"/>
    <w:p w14:paraId="67D20F0F" w14:textId="77777777" w:rsidR="00D04BC4" w:rsidRDefault="00D04BC4" w:rsidP="00071D21"/>
    <w:p w14:paraId="0098A192" w14:textId="77777777" w:rsidR="00D04BC4" w:rsidRDefault="00D04BC4" w:rsidP="00071D21"/>
    <w:p w14:paraId="7A7B1FD3" w14:textId="77777777" w:rsidR="00D04BC4" w:rsidRDefault="00D04BC4" w:rsidP="00071D21"/>
    <w:p w14:paraId="6080CDEC" w14:textId="77777777" w:rsidR="00D04BC4" w:rsidRDefault="00D04BC4" w:rsidP="00071D21"/>
    <w:p w14:paraId="4868CE18" w14:textId="77777777" w:rsidR="00D04BC4" w:rsidRDefault="00D04BC4" w:rsidP="00071D21"/>
    <w:p w14:paraId="77B7561E" w14:textId="77777777" w:rsidR="00D04BC4" w:rsidRDefault="00D04BC4" w:rsidP="00071D21"/>
    <w:p w14:paraId="4F6FB036" w14:textId="77777777" w:rsidR="00D04BC4" w:rsidRDefault="00D04BC4" w:rsidP="00071D21"/>
    <w:p w14:paraId="0AC7F671" w14:textId="77777777" w:rsidR="00D04BC4" w:rsidRDefault="00D04BC4" w:rsidP="00071D21"/>
    <w:p w14:paraId="3445F2F7" w14:textId="77777777" w:rsidR="00D04BC4" w:rsidRDefault="00D04BC4" w:rsidP="00071D21"/>
    <w:p w14:paraId="7A86C41F" w14:textId="77777777" w:rsidR="00D04BC4" w:rsidRDefault="00D04BC4" w:rsidP="00071D21"/>
    <w:p w14:paraId="1F1EC3AA" w14:textId="77777777" w:rsidR="00D04BC4" w:rsidRDefault="00D04BC4" w:rsidP="00071D21"/>
    <w:p w14:paraId="7A450188" w14:textId="77777777" w:rsidR="00D04BC4" w:rsidRDefault="00D04BC4" w:rsidP="00071D21"/>
    <w:p w14:paraId="4458C820" w14:textId="77777777" w:rsidR="00D04BC4" w:rsidRDefault="00D04BC4" w:rsidP="00071D21"/>
    <w:p w14:paraId="1D0247EC" w14:textId="77777777" w:rsidR="00D04BC4" w:rsidRDefault="00D04BC4" w:rsidP="00071D21"/>
    <w:p w14:paraId="7B8DE978" w14:textId="77777777" w:rsidR="00D04BC4" w:rsidRDefault="00D04BC4" w:rsidP="00071D21"/>
    <w:p w14:paraId="0E429E67" w14:textId="77777777" w:rsidR="00D04BC4" w:rsidRDefault="00D04BC4" w:rsidP="00071D21"/>
    <w:p w14:paraId="2CC387FF" w14:textId="77777777" w:rsidR="00D04BC4" w:rsidRDefault="00D04BC4" w:rsidP="00071D21"/>
    <w:p w14:paraId="64450C6A" w14:textId="77777777" w:rsidR="00D04BC4" w:rsidRDefault="00D04BC4"/>
  </w:footnote>
  <w:footnote w:type="continuationSeparator" w:id="0">
    <w:p w14:paraId="621D0DA3" w14:textId="77777777" w:rsidR="00D04BC4" w:rsidRDefault="00D04BC4" w:rsidP="00071D21">
      <w:r>
        <w:continuationSeparator/>
      </w:r>
    </w:p>
    <w:p w14:paraId="0FA11C3B" w14:textId="77777777" w:rsidR="00D04BC4" w:rsidRDefault="00D04BC4" w:rsidP="00071D21"/>
    <w:p w14:paraId="32C4BA22" w14:textId="77777777" w:rsidR="00D04BC4" w:rsidRDefault="00D04BC4" w:rsidP="00071D21"/>
    <w:p w14:paraId="402574C1" w14:textId="77777777" w:rsidR="00D04BC4" w:rsidRDefault="00D04BC4" w:rsidP="00071D21"/>
    <w:p w14:paraId="77FCF81C" w14:textId="77777777" w:rsidR="00D04BC4" w:rsidRDefault="00D04BC4" w:rsidP="00071D21"/>
    <w:p w14:paraId="3EC74EDF" w14:textId="77777777" w:rsidR="00D04BC4" w:rsidRDefault="00D04BC4" w:rsidP="00071D21"/>
    <w:p w14:paraId="7F298EDC" w14:textId="77777777" w:rsidR="00D04BC4" w:rsidRDefault="00D04BC4" w:rsidP="00071D21"/>
    <w:p w14:paraId="785A838E" w14:textId="77777777" w:rsidR="00D04BC4" w:rsidRDefault="00D04BC4" w:rsidP="00071D21"/>
    <w:p w14:paraId="4375E588" w14:textId="77777777" w:rsidR="00D04BC4" w:rsidRDefault="00D04BC4" w:rsidP="00071D21"/>
    <w:p w14:paraId="1CF3717E" w14:textId="77777777" w:rsidR="00D04BC4" w:rsidRDefault="00D04BC4" w:rsidP="00071D21"/>
    <w:p w14:paraId="4255B582" w14:textId="77777777" w:rsidR="00D04BC4" w:rsidRDefault="00D04BC4" w:rsidP="00071D21"/>
    <w:p w14:paraId="6D2101AF" w14:textId="77777777" w:rsidR="00D04BC4" w:rsidRDefault="00D04BC4" w:rsidP="00071D21"/>
    <w:p w14:paraId="264A7F07" w14:textId="77777777" w:rsidR="00D04BC4" w:rsidRDefault="00D04BC4" w:rsidP="00071D21"/>
    <w:p w14:paraId="12F7EAF7" w14:textId="77777777" w:rsidR="00D04BC4" w:rsidRDefault="00D04BC4" w:rsidP="00071D21"/>
    <w:p w14:paraId="4BFDBAC8" w14:textId="77777777" w:rsidR="00D04BC4" w:rsidRDefault="00D04BC4" w:rsidP="00071D21"/>
    <w:p w14:paraId="5FF35535" w14:textId="77777777" w:rsidR="00D04BC4" w:rsidRDefault="00D04BC4" w:rsidP="00071D21"/>
    <w:p w14:paraId="1518C832" w14:textId="77777777" w:rsidR="00D04BC4" w:rsidRDefault="00D04BC4" w:rsidP="00071D21"/>
    <w:p w14:paraId="72C4D5E4" w14:textId="77777777" w:rsidR="00D04BC4" w:rsidRDefault="00D04BC4" w:rsidP="00071D21"/>
    <w:p w14:paraId="044E80B8" w14:textId="77777777" w:rsidR="00D04BC4" w:rsidRDefault="00D04BC4" w:rsidP="00071D21"/>
    <w:p w14:paraId="52ACD41B" w14:textId="77777777" w:rsidR="00D04BC4" w:rsidRDefault="00D04BC4" w:rsidP="00071D21"/>
    <w:p w14:paraId="4B51F1AA" w14:textId="77777777" w:rsidR="00D04BC4" w:rsidRDefault="00D04BC4" w:rsidP="00071D21"/>
    <w:p w14:paraId="21B0E924" w14:textId="77777777" w:rsidR="00D04BC4" w:rsidRDefault="00D04BC4" w:rsidP="00071D21"/>
    <w:p w14:paraId="1AECD083" w14:textId="77777777" w:rsidR="00D04BC4" w:rsidRDefault="00D04BC4" w:rsidP="00071D21"/>
    <w:p w14:paraId="0A08018B" w14:textId="77777777" w:rsidR="00D04BC4" w:rsidRDefault="00D04BC4" w:rsidP="00071D21"/>
    <w:p w14:paraId="702FDDB4" w14:textId="77777777" w:rsidR="00D04BC4" w:rsidRDefault="00D04BC4" w:rsidP="00071D21"/>
    <w:p w14:paraId="775922AC" w14:textId="77777777" w:rsidR="00D04BC4" w:rsidRDefault="00D04BC4" w:rsidP="00071D21"/>
    <w:p w14:paraId="31940A0F" w14:textId="77777777" w:rsidR="00D04BC4" w:rsidRDefault="00D04BC4" w:rsidP="00071D21"/>
    <w:p w14:paraId="1752B8BE" w14:textId="77777777" w:rsidR="00D04BC4" w:rsidRDefault="00D04BC4" w:rsidP="00071D21"/>
    <w:p w14:paraId="5B861BF3" w14:textId="77777777" w:rsidR="00D04BC4" w:rsidRDefault="00D04BC4" w:rsidP="00071D21"/>
    <w:p w14:paraId="42EB2BB1" w14:textId="77777777" w:rsidR="00D04BC4" w:rsidRDefault="00D04BC4" w:rsidP="00071D21"/>
    <w:p w14:paraId="52F80D27" w14:textId="77777777" w:rsidR="00D04BC4" w:rsidRDefault="00D04BC4" w:rsidP="00071D21"/>
    <w:p w14:paraId="111D6192" w14:textId="77777777" w:rsidR="00D04BC4" w:rsidRDefault="00D04BC4" w:rsidP="00071D21"/>
    <w:p w14:paraId="2F34CDB2" w14:textId="77777777" w:rsidR="00D04BC4" w:rsidRDefault="00D04BC4" w:rsidP="00071D21"/>
    <w:p w14:paraId="17C3ED39" w14:textId="77777777" w:rsidR="00D04BC4" w:rsidRDefault="00D04BC4" w:rsidP="00071D21"/>
    <w:p w14:paraId="52706917" w14:textId="77777777" w:rsidR="00D04BC4" w:rsidRDefault="00D04BC4" w:rsidP="00071D21"/>
    <w:p w14:paraId="3D7C78D6" w14:textId="77777777" w:rsidR="00D04BC4" w:rsidRDefault="00D04BC4" w:rsidP="00071D21"/>
    <w:p w14:paraId="6B348FA4" w14:textId="77777777" w:rsidR="00D04BC4" w:rsidRDefault="00D04BC4" w:rsidP="00071D21"/>
    <w:p w14:paraId="5A7787FA" w14:textId="77777777" w:rsidR="00D04BC4" w:rsidRDefault="00D04BC4" w:rsidP="00071D21"/>
    <w:p w14:paraId="36A87656" w14:textId="77777777" w:rsidR="00D04BC4" w:rsidRDefault="00D04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71E63" w14:textId="6F0B2016" w:rsidR="00C11FE0" w:rsidRPr="00EE79AB" w:rsidRDefault="00E14A8F" w:rsidP="000A3F6A">
    <w:pPr>
      <w:pStyle w:val="PMEAbstract"/>
      <w:rPr>
        <w:rtl/>
        <w:lang w:val="en-GB" w:bidi="he-IL"/>
      </w:rPr>
    </w:pPr>
    <w:r>
      <w:rPr>
        <w:lang w:val="nl-BE"/>
      </w:rPr>
      <w:t>Elbaum-Cohen, Heyd-Metzuyanim &amp; Tabach</w:t>
    </w:r>
    <w:r w:rsidR="000A3F6A">
      <w:rPr>
        <w:lang w:val="nl-BE"/>
      </w:rPr>
      <w:t xml:space="preserve"> </w:t>
    </w:r>
  </w:p>
  <w:p w14:paraId="03375152" w14:textId="4466A126" w:rsidR="00FC401C" w:rsidRPr="00EE79AB" w:rsidRDefault="00FC401C">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197F" w14:textId="4FBEF2C8" w:rsidR="00FC401C" w:rsidRPr="00EE79AB" w:rsidRDefault="002860C1" w:rsidP="002860C1">
    <w:pPr>
      <w:pStyle w:val="PMEAbstract"/>
      <w:jc w:val="right"/>
      <w:rPr>
        <w:lang w:val="en-GB" w:bidi="he-IL"/>
      </w:rPr>
    </w:pPr>
    <w:r>
      <w:rPr>
        <w:lang w:val="nl-BE"/>
      </w:rPr>
      <w:t>Elbaum-Cohen, Heyd-Metzuyanim &amp; Tabach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2857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15:restartNumberingAfterBreak="0">
    <w:nsid w:val="0D5232DF"/>
    <w:multiLevelType w:val="hybridMultilevel"/>
    <w:tmpl w:val="A05A2BBA"/>
    <w:lvl w:ilvl="0" w:tplc="E126F9DE">
      <w:start w:val="1"/>
      <w:numFmt w:val="bullet"/>
      <w:lvlText w:val="•"/>
      <w:lvlJc w:val="left"/>
      <w:pPr>
        <w:tabs>
          <w:tab w:val="num" w:pos="720"/>
        </w:tabs>
        <w:ind w:left="720" w:hanging="360"/>
      </w:pPr>
      <w:rPr>
        <w:rFonts w:ascii="Arial" w:hAnsi="Arial" w:hint="default"/>
      </w:rPr>
    </w:lvl>
    <w:lvl w:ilvl="1" w:tplc="74DED21C">
      <w:start w:val="1"/>
      <w:numFmt w:val="bullet"/>
      <w:lvlText w:val="•"/>
      <w:lvlJc w:val="left"/>
      <w:pPr>
        <w:tabs>
          <w:tab w:val="num" w:pos="1440"/>
        </w:tabs>
        <w:ind w:left="1440" w:hanging="360"/>
      </w:pPr>
      <w:rPr>
        <w:rFonts w:ascii="Arial" w:hAnsi="Arial" w:hint="default"/>
      </w:rPr>
    </w:lvl>
    <w:lvl w:ilvl="2" w:tplc="FCF4C504" w:tentative="1">
      <w:start w:val="1"/>
      <w:numFmt w:val="bullet"/>
      <w:lvlText w:val="•"/>
      <w:lvlJc w:val="left"/>
      <w:pPr>
        <w:tabs>
          <w:tab w:val="num" w:pos="2160"/>
        </w:tabs>
        <w:ind w:left="2160" w:hanging="360"/>
      </w:pPr>
      <w:rPr>
        <w:rFonts w:ascii="Arial" w:hAnsi="Arial" w:hint="default"/>
      </w:rPr>
    </w:lvl>
    <w:lvl w:ilvl="3" w:tplc="B71425FC" w:tentative="1">
      <w:start w:val="1"/>
      <w:numFmt w:val="bullet"/>
      <w:lvlText w:val="•"/>
      <w:lvlJc w:val="left"/>
      <w:pPr>
        <w:tabs>
          <w:tab w:val="num" w:pos="2880"/>
        </w:tabs>
        <w:ind w:left="2880" w:hanging="360"/>
      </w:pPr>
      <w:rPr>
        <w:rFonts w:ascii="Arial" w:hAnsi="Arial" w:hint="default"/>
      </w:rPr>
    </w:lvl>
    <w:lvl w:ilvl="4" w:tplc="BCA464FE" w:tentative="1">
      <w:start w:val="1"/>
      <w:numFmt w:val="bullet"/>
      <w:lvlText w:val="•"/>
      <w:lvlJc w:val="left"/>
      <w:pPr>
        <w:tabs>
          <w:tab w:val="num" w:pos="3600"/>
        </w:tabs>
        <w:ind w:left="3600" w:hanging="360"/>
      </w:pPr>
      <w:rPr>
        <w:rFonts w:ascii="Arial" w:hAnsi="Arial" w:hint="default"/>
      </w:rPr>
    </w:lvl>
    <w:lvl w:ilvl="5" w:tplc="D482F87E" w:tentative="1">
      <w:start w:val="1"/>
      <w:numFmt w:val="bullet"/>
      <w:lvlText w:val="•"/>
      <w:lvlJc w:val="left"/>
      <w:pPr>
        <w:tabs>
          <w:tab w:val="num" w:pos="4320"/>
        </w:tabs>
        <w:ind w:left="4320" w:hanging="360"/>
      </w:pPr>
      <w:rPr>
        <w:rFonts w:ascii="Arial" w:hAnsi="Arial" w:hint="default"/>
      </w:rPr>
    </w:lvl>
    <w:lvl w:ilvl="6" w:tplc="C70E09D4" w:tentative="1">
      <w:start w:val="1"/>
      <w:numFmt w:val="bullet"/>
      <w:lvlText w:val="•"/>
      <w:lvlJc w:val="left"/>
      <w:pPr>
        <w:tabs>
          <w:tab w:val="num" w:pos="5040"/>
        </w:tabs>
        <w:ind w:left="5040" w:hanging="360"/>
      </w:pPr>
      <w:rPr>
        <w:rFonts w:ascii="Arial" w:hAnsi="Arial" w:hint="default"/>
      </w:rPr>
    </w:lvl>
    <w:lvl w:ilvl="7" w:tplc="490A95F2" w:tentative="1">
      <w:start w:val="1"/>
      <w:numFmt w:val="bullet"/>
      <w:lvlText w:val="•"/>
      <w:lvlJc w:val="left"/>
      <w:pPr>
        <w:tabs>
          <w:tab w:val="num" w:pos="5760"/>
        </w:tabs>
        <w:ind w:left="5760" w:hanging="360"/>
      </w:pPr>
      <w:rPr>
        <w:rFonts w:ascii="Arial" w:hAnsi="Arial" w:hint="default"/>
      </w:rPr>
    </w:lvl>
    <w:lvl w:ilvl="8" w:tplc="028867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15:restartNumberingAfterBreak="0">
    <w:nsid w:val="12631A71"/>
    <w:multiLevelType w:val="hybridMultilevel"/>
    <w:tmpl w:val="BB88D048"/>
    <w:lvl w:ilvl="0" w:tplc="FF98FD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A44357"/>
    <w:multiLevelType w:val="hybridMultilevel"/>
    <w:tmpl w:val="5806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59D"/>
    <w:multiLevelType w:val="multilevel"/>
    <w:tmpl w:val="90C09D8C"/>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7" w15:restartNumberingAfterBreak="0">
    <w:nsid w:val="4B276A3C"/>
    <w:multiLevelType w:val="hybridMultilevel"/>
    <w:tmpl w:val="049299D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4C563C92"/>
    <w:multiLevelType w:val="hybridMultilevel"/>
    <w:tmpl w:val="BB8C8C68"/>
    <w:lvl w:ilvl="0" w:tplc="78608474">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72B7C"/>
    <w:multiLevelType w:val="hybridMultilevel"/>
    <w:tmpl w:val="F5DC7E02"/>
    <w:lvl w:ilvl="0" w:tplc="8C1E050C">
      <w:numFmt w:val="bullet"/>
      <w:lvlText w:val="-"/>
      <w:lvlJc w:val="left"/>
      <w:pPr>
        <w:ind w:left="720" w:hanging="360"/>
      </w:pPr>
      <w:rPr>
        <w:rFonts w:ascii="Times New Roman" w:eastAsia="PMingLiU"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num w:numId="1" w16cid:durableId="108747663">
    <w:abstractNumId w:val="1"/>
  </w:num>
  <w:num w:numId="2" w16cid:durableId="138347284">
    <w:abstractNumId w:val="3"/>
  </w:num>
  <w:num w:numId="3" w16cid:durableId="460803107">
    <w:abstractNumId w:val="10"/>
  </w:num>
  <w:num w:numId="4" w16cid:durableId="1460684922">
    <w:abstractNumId w:val="6"/>
  </w:num>
  <w:num w:numId="5" w16cid:durableId="2111272721">
    <w:abstractNumId w:val="0"/>
  </w:num>
  <w:num w:numId="6" w16cid:durableId="1807357913">
    <w:abstractNumId w:val="7"/>
  </w:num>
  <w:num w:numId="7" w16cid:durableId="2143842682">
    <w:abstractNumId w:val="9"/>
  </w:num>
  <w:num w:numId="8" w16cid:durableId="390466164">
    <w:abstractNumId w:val="2"/>
  </w:num>
  <w:num w:numId="9" w16cid:durableId="973559189">
    <w:abstractNumId w:val="4"/>
  </w:num>
  <w:num w:numId="10" w16cid:durableId="790906271">
    <w:abstractNumId w:val="5"/>
  </w:num>
  <w:num w:numId="11" w16cid:durableId="2050763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9E"/>
    <w:rsid w:val="000023E0"/>
    <w:rsid w:val="000154AC"/>
    <w:rsid w:val="00015BB0"/>
    <w:rsid w:val="000306B0"/>
    <w:rsid w:val="00032BC5"/>
    <w:rsid w:val="00041246"/>
    <w:rsid w:val="00041FC6"/>
    <w:rsid w:val="00047ED1"/>
    <w:rsid w:val="00050E3B"/>
    <w:rsid w:val="000561DF"/>
    <w:rsid w:val="000564CB"/>
    <w:rsid w:val="00067AC9"/>
    <w:rsid w:val="00071D21"/>
    <w:rsid w:val="000752C0"/>
    <w:rsid w:val="00076401"/>
    <w:rsid w:val="000773B6"/>
    <w:rsid w:val="00083D02"/>
    <w:rsid w:val="00084872"/>
    <w:rsid w:val="000868D3"/>
    <w:rsid w:val="00087894"/>
    <w:rsid w:val="000925BC"/>
    <w:rsid w:val="00093A6E"/>
    <w:rsid w:val="00097975"/>
    <w:rsid w:val="00097E8B"/>
    <w:rsid w:val="000A3C1E"/>
    <w:rsid w:val="000A3F6A"/>
    <w:rsid w:val="000A527A"/>
    <w:rsid w:val="000B12B5"/>
    <w:rsid w:val="000B394C"/>
    <w:rsid w:val="000B471C"/>
    <w:rsid w:val="000B5C80"/>
    <w:rsid w:val="000C5AC6"/>
    <w:rsid w:val="000D2145"/>
    <w:rsid w:val="000E0FBF"/>
    <w:rsid w:val="000F2905"/>
    <w:rsid w:val="000F2B0A"/>
    <w:rsid w:val="000F3CD3"/>
    <w:rsid w:val="000F5ED8"/>
    <w:rsid w:val="00101096"/>
    <w:rsid w:val="0010275F"/>
    <w:rsid w:val="00106068"/>
    <w:rsid w:val="001067A6"/>
    <w:rsid w:val="0011079F"/>
    <w:rsid w:val="00117A55"/>
    <w:rsid w:val="001211D2"/>
    <w:rsid w:val="00121904"/>
    <w:rsid w:val="001375AE"/>
    <w:rsid w:val="001400D4"/>
    <w:rsid w:val="001404C0"/>
    <w:rsid w:val="00141BBF"/>
    <w:rsid w:val="0014606B"/>
    <w:rsid w:val="0015373B"/>
    <w:rsid w:val="0015582C"/>
    <w:rsid w:val="001578D1"/>
    <w:rsid w:val="00166625"/>
    <w:rsid w:val="001670CC"/>
    <w:rsid w:val="00167264"/>
    <w:rsid w:val="00170EBE"/>
    <w:rsid w:val="00173CFD"/>
    <w:rsid w:val="001767BD"/>
    <w:rsid w:val="00186651"/>
    <w:rsid w:val="001948E5"/>
    <w:rsid w:val="001C021A"/>
    <w:rsid w:val="001C1752"/>
    <w:rsid w:val="001C21C1"/>
    <w:rsid w:val="001C29BE"/>
    <w:rsid w:val="001D4791"/>
    <w:rsid w:val="001D65BE"/>
    <w:rsid w:val="001E0A38"/>
    <w:rsid w:val="001E0F70"/>
    <w:rsid w:val="00201144"/>
    <w:rsid w:val="00202704"/>
    <w:rsid w:val="0020708F"/>
    <w:rsid w:val="00211E99"/>
    <w:rsid w:val="002138E3"/>
    <w:rsid w:val="00216B8E"/>
    <w:rsid w:val="002172F6"/>
    <w:rsid w:val="00220E15"/>
    <w:rsid w:val="00222AC7"/>
    <w:rsid w:val="00231609"/>
    <w:rsid w:val="00234F6F"/>
    <w:rsid w:val="00244A8C"/>
    <w:rsid w:val="00246A46"/>
    <w:rsid w:val="00246AD7"/>
    <w:rsid w:val="0025314B"/>
    <w:rsid w:val="0025420C"/>
    <w:rsid w:val="00254A8C"/>
    <w:rsid w:val="0025643A"/>
    <w:rsid w:val="0026073B"/>
    <w:rsid w:val="00260DFE"/>
    <w:rsid w:val="00266043"/>
    <w:rsid w:val="00270EEB"/>
    <w:rsid w:val="00272BC0"/>
    <w:rsid w:val="002760A2"/>
    <w:rsid w:val="0028197A"/>
    <w:rsid w:val="002842DA"/>
    <w:rsid w:val="002860C1"/>
    <w:rsid w:val="00286282"/>
    <w:rsid w:val="00286B46"/>
    <w:rsid w:val="00291BCE"/>
    <w:rsid w:val="0029390B"/>
    <w:rsid w:val="002A0DBB"/>
    <w:rsid w:val="002A13FC"/>
    <w:rsid w:val="002A35BB"/>
    <w:rsid w:val="002A57C4"/>
    <w:rsid w:val="002B27BB"/>
    <w:rsid w:val="002B7A58"/>
    <w:rsid w:val="002C4232"/>
    <w:rsid w:val="002C756C"/>
    <w:rsid w:val="002D2B36"/>
    <w:rsid w:val="002E4EEB"/>
    <w:rsid w:val="002F6958"/>
    <w:rsid w:val="002F7F94"/>
    <w:rsid w:val="003021A1"/>
    <w:rsid w:val="00304682"/>
    <w:rsid w:val="00305AF5"/>
    <w:rsid w:val="00314162"/>
    <w:rsid w:val="00316A85"/>
    <w:rsid w:val="0032329F"/>
    <w:rsid w:val="00327EA5"/>
    <w:rsid w:val="003313B5"/>
    <w:rsid w:val="003357D3"/>
    <w:rsid w:val="00335B05"/>
    <w:rsid w:val="003370B7"/>
    <w:rsid w:val="00356146"/>
    <w:rsid w:val="003742E0"/>
    <w:rsid w:val="00376B52"/>
    <w:rsid w:val="003803DA"/>
    <w:rsid w:val="003837DD"/>
    <w:rsid w:val="00384387"/>
    <w:rsid w:val="00385276"/>
    <w:rsid w:val="003A1735"/>
    <w:rsid w:val="003A25C4"/>
    <w:rsid w:val="003A787B"/>
    <w:rsid w:val="003A789B"/>
    <w:rsid w:val="003B0798"/>
    <w:rsid w:val="003B0B20"/>
    <w:rsid w:val="003B5931"/>
    <w:rsid w:val="003C06F1"/>
    <w:rsid w:val="003C3680"/>
    <w:rsid w:val="003C608E"/>
    <w:rsid w:val="003D24C4"/>
    <w:rsid w:val="003D2638"/>
    <w:rsid w:val="003D3503"/>
    <w:rsid w:val="003D4C7B"/>
    <w:rsid w:val="003E26E7"/>
    <w:rsid w:val="003E4ADA"/>
    <w:rsid w:val="003E5AD4"/>
    <w:rsid w:val="003E7384"/>
    <w:rsid w:val="003F1019"/>
    <w:rsid w:val="003F31DB"/>
    <w:rsid w:val="003F4BD1"/>
    <w:rsid w:val="003F645A"/>
    <w:rsid w:val="00407973"/>
    <w:rsid w:val="00413775"/>
    <w:rsid w:val="00416654"/>
    <w:rsid w:val="00420EDB"/>
    <w:rsid w:val="00423731"/>
    <w:rsid w:val="0042656A"/>
    <w:rsid w:val="0043324B"/>
    <w:rsid w:val="004345A8"/>
    <w:rsid w:val="00437DA4"/>
    <w:rsid w:val="00437E23"/>
    <w:rsid w:val="0046282D"/>
    <w:rsid w:val="00462BB5"/>
    <w:rsid w:val="004639B2"/>
    <w:rsid w:val="00465FDB"/>
    <w:rsid w:val="00477E5C"/>
    <w:rsid w:val="00483A28"/>
    <w:rsid w:val="00484E1F"/>
    <w:rsid w:val="00486F21"/>
    <w:rsid w:val="00486FF9"/>
    <w:rsid w:val="00492F3A"/>
    <w:rsid w:val="004A6053"/>
    <w:rsid w:val="004B0E77"/>
    <w:rsid w:val="004B5B47"/>
    <w:rsid w:val="004B63E0"/>
    <w:rsid w:val="004C462B"/>
    <w:rsid w:val="004D6B72"/>
    <w:rsid w:val="004D7545"/>
    <w:rsid w:val="004E69D0"/>
    <w:rsid w:val="004E71C1"/>
    <w:rsid w:val="004E7E69"/>
    <w:rsid w:val="004F332F"/>
    <w:rsid w:val="004F4673"/>
    <w:rsid w:val="0050416B"/>
    <w:rsid w:val="00511EAB"/>
    <w:rsid w:val="0051693C"/>
    <w:rsid w:val="00527D25"/>
    <w:rsid w:val="00536D18"/>
    <w:rsid w:val="00537A7A"/>
    <w:rsid w:val="00545239"/>
    <w:rsid w:val="00551C27"/>
    <w:rsid w:val="005560F7"/>
    <w:rsid w:val="00556562"/>
    <w:rsid w:val="005653BA"/>
    <w:rsid w:val="00573392"/>
    <w:rsid w:val="00576849"/>
    <w:rsid w:val="00580ACE"/>
    <w:rsid w:val="00585C9C"/>
    <w:rsid w:val="00587161"/>
    <w:rsid w:val="005A27F4"/>
    <w:rsid w:val="005B194E"/>
    <w:rsid w:val="005B5E31"/>
    <w:rsid w:val="005C0572"/>
    <w:rsid w:val="005D41B3"/>
    <w:rsid w:val="005D450E"/>
    <w:rsid w:val="005E5A54"/>
    <w:rsid w:val="005F051C"/>
    <w:rsid w:val="005F079E"/>
    <w:rsid w:val="005F354E"/>
    <w:rsid w:val="006001F8"/>
    <w:rsid w:val="00600818"/>
    <w:rsid w:val="00600E50"/>
    <w:rsid w:val="00622113"/>
    <w:rsid w:val="00623526"/>
    <w:rsid w:val="006245EB"/>
    <w:rsid w:val="00626B20"/>
    <w:rsid w:val="00627F6F"/>
    <w:rsid w:val="00635FB0"/>
    <w:rsid w:val="00636B0D"/>
    <w:rsid w:val="00637C8A"/>
    <w:rsid w:val="00650556"/>
    <w:rsid w:val="00654788"/>
    <w:rsid w:val="00654879"/>
    <w:rsid w:val="00657749"/>
    <w:rsid w:val="0066074C"/>
    <w:rsid w:val="00670D24"/>
    <w:rsid w:val="006810E3"/>
    <w:rsid w:val="00681725"/>
    <w:rsid w:val="00682E64"/>
    <w:rsid w:val="006869D2"/>
    <w:rsid w:val="0069141A"/>
    <w:rsid w:val="00692294"/>
    <w:rsid w:val="00693133"/>
    <w:rsid w:val="00693162"/>
    <w:rsid w:val="006971B5"/>
    <w:rsid w:val="006B0A6D"/>
    <w:rsid w:val="006B1197"/>
    <w:rsid w:val="006B1763"/>
    <w:rsid w:val="006C358D"/>
    <w:rsid w:val="006D3AF9"/>
    <w:rsid w:val="006D6D9B"/>
    <w:rsid w:val="006D786E"/>
    <w:rsid w:val="006F19AF"/>
    <w:rsid w:val="006F6991"/>
    <w:rsid w:val="006F76FB"/>
    <w:rsid w:val="0070103B"/>
    <w:rsid w:val="0071208A"/>
    <w:rsid w:val="00714742"/>
    <w:rsid w:val="00721A9E"/>
    <w:rsid w:val="00722737"/>
    <w:rsid w:val="00722D91"/>
    <w:rsid w:val="00723061"/>
    <w:rsid w:val="0072521F"/>
    <w:rsid w:val="00725D79"/>
    <w:rsid w:val="00725EF7"/>
    <w:rsid w:val="007307C0"/>
    <w:rsid w:val="007312D4"/>
    <w:rsid w:val="00731A83"/>
    <w:rsid w:val="00733B8D"/>
    <w:rsid w:val="00734079"/>
    <w:rsid w:val="00734A78"/>
    <w:rsid w:val="00740322"/>
    <w:rsid w:val="00741696"/>
    <w:rsid w:val="0074665F"/>
    <w:rsid w:val="007528A8"/>
    <w:rsid w:val="00753AFA"/>
    <w:rsid w:val="00753DBA"/>
    <w:rsid w:val="00755107"/>
    <w:rsid w:val="00755AE4"/>
    <w:rsid w:val="007717EA"/>
    <w:rsid w:val="00772384"/>
    <w:rsid w:val="00786CCB"/>
    <w:rsid w:val="007931B5"/>
    <w:rsid w:val="00796262"/>
    <w:rsid w:val="007969C8"/>
    <w:rsid w:val="007A1E75"/>
    <w:rsid w:val="007C0536"/>
    <w:rsid w:val="007C19E2"/>
    <w:rsid w:val="007C5FA3"/>
    <w:rsid w:val="007C6E19"/>
    <w:rsid w:val="007D18E8"/>
    <w:rsid w:val="007D2A8F"/>
    <w:rsid w:val="007D3430"/>
    <w:rsid w:val="007D4BAF"/>
    <w:rsid w:val="007D70AD"/>
    <w:rsid w:val="007F2925"/>
    <w:rsid w:val="007F2CAD"/>
    <w:rsid w:val="007F2D51"/>
    <w:rsid w:val="007F3671"/>
    <w:rsid w:val="007F385A"/>
    <w:rsid w:val="00803023"/>
    <w:rsid w:val="00806577"/>
    <w:rsid w:val="008074AE"/>
    <w:rsid w:val="008123AE"/>
    <w:rsid w:val="00813A7C"/>
    <w:rsid w:val="00816890"/>
    <w:rsid w:val="00822531"/>
    <w:rsid w:val="00831C95"/>
    <w:rsid w:val="00833480"/>
    <w:rsid w:val="00837155"/>
    <w:rsid w:val="00852E3A"/>
    <w:rsid w:val="008546C1"/>
    <w:rsid w:val="00855649"/>
    <w:rsid w:val="00855FF4"/>
    <w:rsid w:val="00856D1B"/>
    <w:rsid w:val="00860702"/>
    <w:rsid w:val="00871EB5"/>
    <w:rsid w:val="00872284"/>
    <w:rsid w:val="00876364"/>
    <w:rsid w:val="00880677"/>
    <w:rsid w:val="008931DD"/>
    <w:rsid w:val="008968E5"/>
    <w:rsid w:val="008A00F7"/>
    <w:rsid w:val="008A164A"/>
    <w:rsid w:val="008A1B1A"/>
    <w:rsid w:val="008A426D"/>
    <w:rsid w:val="008B0B57"/>
    <w:rsid w:val="008C3BBE"/>
    <w:rsid w:val="008C681C"/>
    <w:rsid w:val="008C733E"/>
    <w:rsid w:val="008D0D27"/>
    <w:rsid w:val="008D100D"/>
    <w:rsid w:val="008D4D8E"/>
    <w:rsid w:val="008E0573"/>
    <w:rsid w:val="008E0BC1"/>
    <w:rsid w:val="008E137E"/>
    <w:rsid w:val="008E3010"/>
    <w:rsid w:val="008E52DC"/>
    <w:rsid w:val="008F3A5F"/>
    <w:rsid w:val="008F73D9"/>
    <w:rsid w:val="008F7AD0"/>
    <w:rsid w:val="009035E6"/>
    <w:rsid w:val="00911DF4"/>
    <w:rsid w:val="00913D75"/>
    <w:rsid w:val="009253A7"/>
    <w:rsid w:val="009259EE"/>
    <w:rsid w:val="00925C2D"/>
    <w:rsid w:val="00930F55"/>
    <w:rsid w:val="0093335F"/>
    <w:rsid w:val="00936014"/>
    <w:rsid w:val="0095033B"/>
    <w:rsid w:val="00954058"/>
    <w:rsid w:val="00964112"/>
    <w:rsid w:val="0097392C"/>
    <w:rsid w:val="00981307"/>
    <w:rsid w:val="009827DD"/>
    <w:rsid w:val="00986B5D"/>
    <w:rsid w:val="00990B80"/>
    <w:rsid w:val="009975DE"/>
    <w:rsid w:val="009A09AB"/>
    <w:rsid w:val="009A42D1"/>
    <w:rsid w:val="009A45C2"/>
    <w:rsid w:val="009B1F89"/>
    <w:rsid w:val="009B25FE"/>
    <w:rsid w:val="009B410C"/>
    <w:rsid w:val="009B4629"/>
    <w:rsid w:val="009B54B2"/>
    <w:rsid w:val="009C0C25"/>
    <w:rsid w:val="009C6AF1"/>
    <w:rsid w:val="009E4488"/>
    <w:rsid w:val="009E4FD6"/>
    <w:rsid w:val="009F0E99"/>
    <w:rsid w:val="009F508B"/>
    <w:rsid w:val="00A171B4"/>
    <w:rsid w:val="00A17CC7"/>
    <w:rsid w:val="00A201B0"/>
    <w:rsid w:val="00A20E3B"/>
    <w:rsid w:val="00A2315F"/>
    <w:rsid w:val="00A242D0"/>
    <w:rsid w:val="00A3393A"/>
    <w:rsid w:val="00A362DB"/>
    <w:rsid w:val="00A37330"/>
    <w:rsid w:val="00A430E8"/>
    <w:rsid w:val="00A47DD3"/>
    <w:rsid w:val="00A50DF8"/>
    <w:rsid w:val="00A51460"/>
    <w:rsid w:val="00A603D7"/>
    <w:rsid w:val="00A60843"/>
    <w:rsid w:val="00A66D91"/>
    <w:rsid w:val="00A67C27"/>
    <w:rsid w:val="00A70315"/>
    <w:rsid w:val="00A77BEB"/>
    <w:rsid w:val="00A83F06"/>
    <w:rsid w:val="00A84C6A"/>
    <w:rsid w:val="00A86CB1"/>
    <w:rsid w:val="00A9253F"/>
    <w:rsid w:val="00A9378D"/>
    <w:rsid w:val="00A969BC"/>
    <w:rsid w:val="00AA25F5"/>
    <w:rsid w:val="00AA60DD"/>
    <w:rsid w:val="00AB2128"/>
    <w:rsid w:val="00AC13F8"/>
    <w:rsid w:val="00AC7AD9"/>
    <w:rsid w:val="00AE07D6"/>
    <w:rsid w:val="00AE23CF"/>
    <w:rsid w:val="00AE4DD4"/>
    <w:rsid w:val="00AF03B4"/>
    <w:rsid w:val="00AF05C7"/>
    <w:rsid w:val="00AF3E02"/>
    <w:rsid w:val="00AF7D72"/>
    <w:rsid w:val="00B0123A"/>
    <w:rsid w:val="00B0310A"/>
    <w:rsid w:val="00B04110"/>
    <w:rsid w:val="00B06BF1"/>
    <w:rsid w:val="00B07C63"/>
    <w:rsid w:val="00B15111"/>
    <w:rsid w:val="00B22E84"/>
    <w:rsid w:val="00B33F72"/>
    <w:rsid w:val="00B348B0"/>
    <w:rsid w:val="00B36650"/>
    <w:rsid w:val="00B37AF6"/>
    <w:rsid w:val="00B37C6C"/>
    <w:rsid w:val="00B41EC4"/>
    <w:rsid w:val="00B442B7"/>
    <w:rsid w:val="00B4668A"/>
    <w:rsid w:val="00B46A39"/>
    <w:rsid w:val="00B504B6"/>
    <w:rsid w:val="00B52038"/>
    <w:rsid w:val="00B54A1A"/>
    <w:rsid w:val="00B55742"/>
    <w:rsid w:val="00B63F26"/>
    <w:rsid w:val="00B67C2A"/>
    <w:rsid w:val="00B67E93"/>
    <w:rsid w:val="00B726FF"/>
    <w:rsid w:val="00B77A7C"/>
    <w:rsid w:val="00B81FFF"/>
    <w:rsid w:val="00B84033"/>
    <w:rsid w:val="00B86673"/>
    <w:rsid w:val="00B93FF4"/>
    <w:rsid w:val="00B96B7D"/>
    <w:rsid w:val="00BA49B3"/>
    <w:rsid w:val="00BA5D34"/>
    <w:rsid w:val="00BA64F7"/>
    <w:rsid w:val="00BA6877"/>
    <w:rsid w:val="00BB5A15"/>
    <w:rsid w:val="00BC3E99"/>
    <w:rsid w:val="00BC4860"/>
    <w:rsid w:val="00BC6564"/>
    <w:rsid w:val="00BD019B"/>
    <w:rsid w:val="00BD08CF"/>
    <w:rsid w:val="00BD3EB1"/>
    <w:rsid w:val="00BE0F92"/>
    <w:rsid w:val="00BE3600"/>
    <w:rsid w:val="00BF082C"/>
    <w:rsid w:val="00BF3025"/>
    <w:rsid w:val="00BF4D36"/>
    <w:rsid w:val="00BF5996"/>
    <w:rsid w:val="00BF5F5D"/>
    <w:rsid w:val="00C0333E"/>
    <w:rsid w:val="00C04A56"/>
    <w:rsid w:val="00C10F26"/>
    <w:rsid w:val="00C11E18"/>
    <w:rsid w:val="00C11FE0"/>
    <w:rsid w:val="00C13833"/>
    <w:rsid w:val="00C205FB"/>
    <w:rsid w:val="00C266E6"/>
    <w:rsid w:val="00C31BFD"/>
    <w:rsid w:val="00C343BC"/>
    <w:rsid w:val="00C352B9"/>
    <w:rsid w:val="00C422C6"/>
    <w:rsid w:val="00C43F0E"/>
    <w:rsid w:val="00C45244"/>
    <w:rsid w:val="00C464CE"/>
    <w:rsid w:val="00C502DD"/>
    <w:rsid w:val="00C50A77"/>
    <w:rsid w:val="00C52237"/>
    <w:rsid w:val="00C53806"/>
    <w:rsid w:val="00C54DE7"/>
    <w:rsid w:val="00C6037A"/>
    <w:rsid w:val="00C605D9"/>
    <w:rsid w:val="00C621CC"/>
    <w:rsid w:val="00C70031"/>
    <w:rsid w:val="00C73DB7"/>
    <w:rsid w:val="00C803B0"/>
    <w:rsid w:val="00C81724"/>
    <w:rsid w:val="00C83A79"/>
    <w:rsid w:val="00C84EDA"/>
    <w:rsid w:val="00C919CE"/>
    <w:rsid w:val="00C925D2"/>
    <w:rsid w:val="00C93DA6"/>
    <w:rsid w:val="00C97A7A"/>
    <w:rsid w:val="00CA211A"/>
    <w:rsid w:val="00CB7A97"/>
    <w:rsid w:val="00CC0155"/>
    <w:rsid w:val="00CD343D"/>
    <w:rsid w:val="00CD4330"/>
    <w:rsid w:val="00CE2432"/>
    <w:rsid w:val="00CE45DB"/>
    <w:rsid w:val="00CE539E"/>
    <w:rsid w:val="00CE6945"/>
    <w:rsid w:val="00CE7E37"/>
    <w:rsid w:val="00CF2DCE"/>
    <w:rsid w:val="00CF4A8C"/>
    <w:rsid w:val="00CF6615"/>
    <w:rsid w:val="00D006B1"/>
    <w:rsid w:val="00D04BC4"/>
    <w:rsid w:val="00D06959"/>
    <w:rsid w:val="00D313E8"/>
    <w:rsid w:val="00D35331"/>
    <w:rsid w:val="00D37174"/>
    <w:rsid w:val="00D43636"/>
    <w:rsid w:val="00D45C32"/>
    <w:rsid w:val="00D5178A"/>
    <w:rsid w:val="00D5611B"/>
    <w:rsid w:val="00D67B7D"/>
    <w:rsid w:val="00D7294B"/>
    <w:rsid w:val="00D72C9F"/>
    <w:rsid w:val="00D73EEB"/>
    <w:rsid w:val="00D74006"/>
    <w:rsid w:val="00D74EF9"/>
    <w:rsid w:val="00D778E8"/>
    <w:rsid w:val="00D92220"/>
    <w:rsid w:val="00D92B8B"/>
    <w:rsid w:val="00D97054"/>
    <w:rsid w:val="00DA4FD4"/>
    <w:rsid w:val="00DA6A6D"/>
    <w:rsid w:val="00DA7D78"/>
    <w:rsid w:val="00DB6D63"/>
    <w:rsid w:val="00DB7AB3"/>
    <w:rsid w:val="00DC0C18"/>
    <w:rsid w:val="00DC0C59"/>
    <w:rsid w:val="00DC72A6"/>
    <w:rsid w:val="00DC7517"/>
    <w:rsid w:val="00DD535C"/>
    <w:rsid w:val="00DE1E2F"/>
    <w:rsid w:val="00DF0604"/>
    <w:rsid w:val="00DF2327"/>
    <w:rsid w:val="00DF309C"/>
    <w:rsid w:val="00E02F0C"/>
    <w:rsid w:val="00E104EC"/>
    <w:rsid w:val="00E1251E"/>
    <w:rsid w:val="00E143F6"/>
    <w:rsid w:val="00E14A8F"/>
    <w:rsid w:val="00E15686"/>
    <w:rsid w:val="00E23D7A"/>
    <w:rsid w:val="00E26CB7"/>
    <w:rsid w:val="00E32E0B"/>
    <w:rsid w:val="00E34542"/>
    <w:rsid w:val="00E349B4"/>
    <w:rsid w:val="00E36301"/>
    <w:rsid w:val="00E373B1"/>
    <w:rsid w:val="00E55CB8"/>
    <w:rsid w:val="00E5663B"/>
    <w:rsid w:val="00E61F86"/>
    <w:rsid w:val="00E62499"/>
    <w:rsid w:val="00E635B1"/>
    <w:rsid w:val="00E7325C"/>
    <w:rsid w:val="00E746E1"/>
    <w:rsid w:val="00E75780"/>
    <w:rsid w:val="00E803D1"/>
    <w:rsid w:val="00E840F0"/>
    <w:rsid w:val="00E85361"/>
    <w:rsid w:val="00E877A3"/>
    <w:rsid w:val="00E87F37"/>
    <w:rsid w:val="00E9446C"/>
    <w:rsid w:val="00EA3A46"/>
    <w:rsid w:val="00EA405A"/>
    <w:rsid w:val="00EB3EF9"/>
    <w:rsid w:val="00EB5728"/>
    <w:rsid w:val="00EB7719"/>
    <w:rsid w:val="00ED1681"/>
    <w:rsid w:val="00ED2190"/>
    <w:rsid w:val="00EE06A9"/>
    <w:rsid w:val="00EE0D7F"/>
    <w:rsid w:val="00EE13BE"/>
    <w:rsid w:val="00EE42CF"/>
    <w:rsid w:val="00EE4B40"/>
    <w:rsid w:val="00EE6556"/>
    <w:rsid w:val="00EE6648"/>
    <w:rsid w:val="00EE79AB"/>
    <w:rsid w:val="00EF3822"/>
    <w:rsid w:val="00F03382"/>
    <w:rsid w:val="00F06C1E"/>
    <w:rsid w:val="00F15152"/>
    <w:rsid w:val="00F26FB6"/>
    <w:rsid w:val="00F30519"/>
    <w:rsid w:val="00F31A3A"/>
    <w:rsid w:val="00F34249"/>
    <w:rsid w:val="00F3553C"/>
    <w:rsid w:val="00F36FD7"/>
    <w:rsid w:val="00F47A65"/>
    <w:rsid w:val="00F50652"/>
    <w:rsid w:val="00F50C80"/>
    <w:rsid w:val="00F55766"/>
    <w:rsid w:val="00F56589"/>
    <w:rsid w:val="00F5795C"/>
    <w:rsid w:val="00F632D5"/>
    <w:rsid w:val="00F73C9D"/>
    <w:rsid w:val="00F808D9"/>
    <w:rsid w:val="00F81EC6"/>
    <w:rsid w:val="00F833E1"/>
    <w:rsid w:val="00F853D8"/>
    <w:rsid w:val="00F91A80"/>
    <w:rsid w:val="00FA125A"/>
    <w:rsid w:val="00FA7970"/>
    <w:rsid w:val="00FB4279"/>
    <w:rsid w:val="00FB5713"/>
    <w:rsid w:val="00FB7F87"/>
    <w:rsid w:val="00FC1596"/>
    <w:rsid w:val="00FC1BFF"/>
    <w:rsid w:val="00FC2CAD"/>
    <w:rsid w:val="00FC401C"/>
    <w:rsid w:val="00FC6436"/>
    <w:rsid w:val="00FD6019"/>
    <w:rsid w:val="00FE66C5"/>
    <w:rsid w:val="00FF2F23"/>
    <w:rsid w:val="00FF4F1F"/>
    <w:rsid w:val="00FF6EEB"/>
    <w:rsid w:val="00FF7BF4"/>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1D88"/>
  <w15:docId w15:val="{E61ADEE9-65B9-4EE0-8CEA-224941A8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Z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803023"/>
    <w:pPr>
      <w:tabs>
        <w:tab w:val="right" w:pos="9498"/>
      </w:tabs>
      <w:autoSpaceDE w:val="0"/>
      <w:autoSpaceDN w:val="0"/>
    </w:pPr>
    <w:rPr>
      <w:rFonts w:eastAsia="Times New Roman"/>
      <w:sz w:val="28"/>
      <w:szCs w:val="28"/>
      <w:lang w:val="en-AU" w:eastAsia="es-ES"/>
    </w:rPr>
  </w:style>
  <w:style w:type="paragraph" w:styleId="Heading1">
    <w:name w:val="heading 1"/>
    <w:basedOn w:val="Normal"/>
    <w:next w:val="Normal"/>
    <w:link w:val="Heading1Char"/>
    <w:uiPriority w:val="9"/>
    <w:rsid w:val="001767BD"/>
    <w:pPr>
      <w:keepNext/>
      <w:spacing w:line="400" w:lineRule="exact"/>
      <w:jc w:val="center"/>
      <w:outlineLvl w:val="0"/>
    </w:pPr>
    <w:rPr>
      <w:rFonts w:ascii="Cambria" w:hAnsi="Cambria"/>
      <w:b/>
      <w:bCs/>
      <w:kern w:val="32"/>
      <w:sz w:val="32"/>
      <w:szCs w:val="32"/>
    </w:rPr>
  </w:style>
  <w:style w:type="paragraph" w:styleId="Heading2">
    <w:name w:val="heading 2"/>
    <w:basedOn w:val="Normal"/>
    <w:next w:val="Normal"/>
    <w:link w:val="Heading2Char"/>
    <w:uiPriority w:val="9"/>
    <w:rsid w:val="001767BD"/>
    <w:pPr>
      <w:keepNext/>
      <w:spacing w:before="120"/>
      <w:outlineLvl w:val="1"/>
    </w:pPr>
    <w:rPr>
      <w:rFonts w:ascii="Cambria" w:hAnsi="Cambria"/>
      <w:b/>
      <w:bCs/>
      <w:i/>
      <w:iCs/>
    </w:rPr>
  </w:style>
  <w:style w:type="paragraph" w:styleId="Heading3">
    <w:name w:val="heading 3"/>
    <w:basedOn w:val="Normal"/>
    <w:next w:val="Normal"/>
    <w:link w:val="Heading3Char"/>
    <w:uiPriority w:val="9"/>
    <w:rsid w:val="001767BD"/>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767BD"/>
    <w:rPr>
      <w:rFonts w:ascii="Cambria" w:eastAsia="Times New Roman" w:hAnsi="Cambria" w:cs="Times New Roman"/>
      <w:b/>
      <w:bCs/>
      <w:kern w:val="32"/>
      <w:sz w:val="32"/>
      <w:szCs w:val="32"/>
      <w:lang w:val="en-AU" w:eastAsia="es-ES"/>
    </w:rPr>
  </w:style>
  <w:style w:type="character" w:customStyle="1" w:styleId="Heading2Char">
    <w:name w:val="Heading 2 Char"/>
    <w:link w:val="Heading2"/>
    <w:uiPriority w:val="9"/>
    <w:semiHidden/>
    <w:rsid w:val="001767BD"/>
    <w:rPr>
      <w:rFonts w:ascii="Cambria" w:eastAsia="Times New Roman" w:hAnsi="Cambria" w:cs="Times New Roman"/>
      <w:b/>
      <w:bCs/>
      <w:i/>
      <w:iCs/>
      <w:sz w:val="28"/>
      <w:szCs w:val="28"/>
      <w:lang w:val="en-AU" w:eastAsia="es-ES"/>
    </w:rPr>
  </w:style>
  <w:style w:type="character" w:customStyle="1" w:styleId="Heading3Char">
    <w:name w:val="Heading 3 Char"/>
    <w:link w:val="Heading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DocumentMap">
    <w:name w:val="Document Map"/>
    <w:basedOn w:val="Normal"/>
    <w:link w:val="DocumentMapChar"/>
    <w:uiPriority w:val="99"/>
    <w:semiHidden/>
    <w:rsid w:val="001767BD"/>
    <w:pPr>
      <w:shd w:val="clear" w:color="auto" w:fill="000080"/>
    </w:pPr>
    <w:rPr>
      <w:rFonts w:ascii="Tahoma" w:hAnsi="Tahoma"/>
      <w:sz w:val="16"/>
      <w:szCs w:val="16"/>
    </w:rPr>
  </w:style>
  <w:style w:type="character" w:customStyle="1" w:styleId="DocumentMapChar">
    <w:name w:val="Document Map Char"/>
    <w:link w:val="DocumentMap"/>
    <w:uiPriority w:val="99"/>
    <w:semiHidden/>
    <w:rsid w:val="001767BD"/>
    <w:rPr>
      <w:rFonts w:ascii="Tahoma" w:hAnsi="Tahoma" w:cs="Tahoma"/>
      <w:sz w:val="16"/>
      <w:szCs w:val="16"/>
      <w:lang w:val="en-AU" w:eastAsia="es-ES"/>
    </w:rPr>
  </w:style>
  <w:style w:type="paragraph" w:customStyle="1" w:styleId="PMEAuthorInstitution">
    <w:name w:val="PME Author/Institution"/>
    <w:basedOn w:val="PMENormal"/>
    <w:uiPriority w:val="99"/>
    <w:qFormat/>
    <w:rsid w:val="001767BD"/>
    <w:pPr>
      <w:jc w:val="center"/>
    </w:pPr>
  </w:style>
  <w:style w:type="paragraph" w:customStyle="1" w:styleId="PMENormal">
    <w:name w:val="PME Normal"/>
    <w:uiPriority w:val="99"/>
    <w:qFormat/>
    <w:rsid w:val="001767BD"/>
    <w:pPr>
      <w:autoSpaceDE w:val="0"/>
      <w:autoSpaceDN w:val="0"/>
      <w:spacing w:after="120" w:line="320" w:lineRule="atLeast"/>
      <w:jc w:val="both"/>
    </w:pPr>
    <w:rPr>
      <w:sz w:val="28"/>
      <w:szCs w:val="28"/>
      <w:lang w:val="en-AU" w:eastAsia="es-ES"/>
    </w:rPr>
  </w:style>
  <w:style w:type="paragraph" w:customStyle="1" w:styleId="PMEAbstract">
    <w:name w:val="PME Abstract"/>
    <w:basedOn w:val="PMENormal"/>
    <w:uiPriority w:val="99"/>
    <w:qFormat/>
    <w:rsid w:val="001767BD"/>
    <w:rPr>
      <w:i/>
      <w:iCs/>
    </w:rPr>
  </w:style>
  <w:style w:type="paragraph" w:customStyle="1" w:styleId="PMEHeading1">
    <w:name w:val="PME Heading 1"/>
    <w:basedOn w:val="PMENormal"/>
    <w:uiPriority w:val="99"/>
    <w:qFormat/>
    <w:rsid w:val="001767BD"/>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qFormat/>
    <w:rsid w:val="001767BD"/>
    <w:pPr>
      <w:keepNext/>
      <w:spacing w:before="120"/>
      <w:jc w:val="left"/>
      <w:outlineLvl w:val="1"/>
    </w:pPr>
    <w:rPr>
      <w:b/>
      <w:bCs/>
      <w:caps/>
    </w:rPr>
  </w:style>
  <w:style w:type="paragraph" w:customStyle="1" w:styleId="PMEHeading3">
    <w:name w:val="PME Heading 3"/>
    <w:basedOn w:val="PMENormal"/>
    <w:next w:val="PMENormal"/>
    <w:uiPriority w:val="99"/>
    <w:qFormat/>
    <w:rsid w:val="001767BD"/>
    <w:pPr>
      <w:keepNext/>
      <w:jc w:val="left"/>
      <w:outlineLvl w:val="2"/>
    </w:pPr>
    <w:rPr>
      <w:b/>
      <w:bCs/>
    </w:rPr>
  </w:style>
  <w:style w:type="paragraph" w:customStyle="1" w:styleId="PMEQuote">
    <w:name w:val="PME Quote"/>
    <w:basedOn w:val="PMENormal"/>
    <w:next w:val="PMENormal"/>
    <w:uiPriority w:val="99"/>
    <w:qFormat/>
    <w:rsid w:val="001767BD"/>
    <w:pPr>
      <w:spacing w:line="260" w:lineRule="atLeast"/>
      <w:ind w:left="289"/>
    </w:pPr>
    <w:rPr>
      <w:sz w:val="26"/>
      <w:szCs w:val="26"/>
    </w:rPr>
  </w:style>
  <w:style w:type="paragraph" w:customStyle="1" w:styleId="PMEFigTitle">
    <w:name w:val="PME FigTitle"/>
    <w:basedOn w:val="PMENormal"/>
    <w:next w:val="PMENormal"/>
    <w:uiPriority w:val="99"/>
    <w:qFormat/>
    <w:rsid w:val="001767BD"/>
    <w:pPr>
      <w:spacing w:before="120"/>
      <w:jc w:val="center"/>
    </w:pPr>
  </w:style>
  <w:style w:type="paragraph" w:customStyle="1" w:styleId="PMENumberedtranscript">
    <w:name w:val="PME Numbered transcript"/>
    <w:basedOn w:val="PMENormal"/>
    <w:next w:val="PMENormal"/>
    <w:uiPriority w:val="99"/>
    <w:qFormat/>
    <w:rsid w:val="001767BD"/>
    <w:pPr>
      <w:tabs>
        <w:tab w:val="left" w:pos="992"/>
      </w:tabs>
      <w:spacing w:line="260" w:lineRule="exact"/>
      <w:ind w:left="1865" w:hanging="1440"/>
    </w:pPr>
    <w:rPr>
      <w:sz w:val="26"/>
      <w:szCs w:val="26"/>
    </w:rPr>
  </w:style>
  <w:style w:type="paragraph" w:customStyle="1" w:styleId="PMETranscript">
    <w:name w:val="PME Transcript"/>
    <w:basedOn w:val="PMENormal"/>
    <w:next w:val="PMENormal"/>
    <w:uiPriority w:val="99"/>
    <w:qFormat/>
    <w:rsid w:val="001767BD"/>
    <w:pPr>
      <w:spacing w:line="260" w:lineRule="atLeast"/>
      <w:ind w:left="1865" w:hanging="1440"/>
    </w:pPr>
    <w:rPr>
      <w:sz w:val="26"/>
      <w:szCs w:val="26"/>
    </w:rPr>
  </w:style>
  <w:style w:type="paragraph" w:customStyle="1" w:styleId="PMEReferences">
    <w:name w:val="PME References"/>
    <w:basedOn w:val="PMENormal"/>
    <w:uiPriority w:val="99"/>
    <w:qFormat/>
    <w:rsid w:val="001767BD"/>
    <w:pPr>
      <w:spacing w:line="260" w:lineRule="atLeast"/>
      <w:ind w:left="289" w:hanging="289"/>
    </w:pPr>
    <w:rPr>
      <w:sz w:val="26"/>
      <w:szCs w:val="26"/>
    </w:rPr>
  </w:style>
  <w:style w:type="paragraph" w:customStyle="1" w:styleId="PMEBullet">
    <w:name w:val="PME Bullet"/>
    <w:basedOn w:val="PMENormal"/>
    <w:uiPriority w:val="99"/>
    <w:qFormat/>
    <w:rsid w:val="001767BD"/>
    <w:pPr>
      <w:numPr>
        <w:numId w:val="4"/>
      </w:numPr>
      <w:tabs>
        <w:tab w:val="num" w:pos="993"/>
      </w:tabs>
      <w:spacing w:after="0"/>
      <w:ind w:left="993" w:hanging="567"/>
    </w:pPr>
  </w:style>
  <w:style w:type="character" w:styleId="FollowedHyperlink">
    <w:name w:val="FollowedHyperlink"/>
    <w:uiPriority w:val="99"/>
    <w:semiHidden/>
    <w:unhideWhenUsed/>
    <w:rsid w:val="00CA211A"/>
    <w:rPr>
      <w:color w:val="800080"/>
      <w:u w:val="single"/>
    </w:rPr>
  </w:style>
  <w:style w:type="paragraph" w:styleId="Header">
    <w:name w:val="header"/>
    <w:basedOn w:val="Normal"/>
    <w:link w:val="HeaderChar"/>
    <w:uiPriority w:val="99"/>
    <w:unhideWhenUsed/>
    <w:rsid w:val="005D41B3"/>
    <w:pPr>
      <w:tabs>
        <w:tab w:val="center" w:pos="4536"/>
        <w:tab w:val="right" w:pos="9072"/>
      </w:tabs>
    </w:pPr>
  </w:style>
  <w:style w:type="character" w:customStyle="1" w:styleId="HeaderChar">
    <w:name w:val="Header Char"/>
    <w:link w:val="Header"/>
    <w:uiPriority w:val="99"/>
    <w:rsid w:val="005D41B3"/>
    <w:rPr>
      <w:sz w:val="28"/>
      <w:szCs w:val="28"/>
      <w:lang w:val="en-AU" w:eastAsia="es-ES"/>
    </w:rPr>
  </w:style>
  <w:style w:type="table" w:styleId="TableGrid">
    <w:name w:val="Table Grid"/>
    <w:basedOn w:val="TableNormal"/>
    <w:uiPriority w:val="39"/>
    <w:rsid w:val="009A45C2"/>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A45C2"/>
    <w:pPr>
      <w:autoSpaceDE/>
      <w:autoSpaceDN/>
      <w:spacing w:after="160" w:line="259" w:lineRule="auto"/>
      <w:ind w:left="720"/>
      <w:contextualSpacing/>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semiHidden/>
    <w:unhideWhenUsed/>
    <w:rsid w:val="009A45C2"/>
    <w:rPr>
      <w:vertAlign w:val="superscript"/>
    </w:rPr>
  </w:style>
  <w:style w:type="paragraph" w:styleId="FootnoteText">
    <w:name w:val="footnote text"/>
    <w:basedOn w:val="Normal"/>
    <w:link w:val="FootnoteTextChar"/>
    <w:uiPriority w:val="99"/>
    <w:unhideWhenUsed/>
    <w:rsid w:val="009A45C2"/>
    <w:pPr>
      <w:autoSpaceDE/>
      <w:autoSpaceDN/>
    </w:pPr>
    <w:rPr>
      <w:rFonts w:asciiTheme="minorHAnsi" w:eastAsiaTheme="minorHAnsi" w:hAnsiTheme="minorHAnsi" w:cstheme="minorBidi"/>
      <w:sz w:val="20"/>
      <w:szCs w:val="20"/>
      <w:lang w:val="es-ES" w:eastAsia="en-US"/>
    </w:rPr>
  </w:style>
  <w:style w:type="character" w:customStyle="1" w:styleId="FootnoteTextChar">
    <w:name w:val="Footnote Text Char"/>
    <w:basedOn w:val="DefaultParagraphFont"/>
    <w:link w:val="FootnoteText"/>
    <w:uiPriority w:val="99"/>
    <w:rsid w:val="009A45C2"/>
    <w:rPr>
      <w:rFonts w:asciiTheme="minorHAnsi" w:eastAsiaTheme="minorHAnsi" w:hAnsiTheme="minorHAnsi" w:cstheme="minorBidi"/>
      <w:lang w:val="es-ES"/>
    </w:rPr>
  </w:style>
  <w:style w:type="paragraph" w:styleId="EndnoteText">
    <w:name w:val="endnote text"/>
    <w:basedOn w:val="Normal"/>
    <w:link w:val="EndnoteTextChar"/>
    <w:uiPriority w:val="99"/>
    <w:semiHidden/>
    <w:unhideWhenUsed/>
    <w:rsid w:val="00F56589"/>
    <w:rPr>
      <w:sz w:val="20"/>
      <w:szCs w:val="20"/>
    </w:rPr>
  </w:style>
  <w:style w:type="character" w:customStyle="1" w:styleId="EndnoteTextChar">
    <w:name w:val="Endnote Text Char"/>
    <w:basedOn w:val="DefaultParagraphFont"/>
    <w:link w:val="EndnoteText"/>
    <w:uiPriority w:val="99"/>
    <w:semiHidden/>
    <w:rsid w:val="00F56589"/>
    <w:rPr>
      <w:lang w:val="en-AU" w:eastAsia="es-ES"/>
    </w:rPr>
  </w:style>
  <w:style w:type="character" w:styleId="EndnoteReference">
    <w:name w:val="endnote reference"/>
    <w:basedOn w:val="DefaultParagraphFont"/>
    <w:uiPriority w:val="99"/>
    <w:semiHidden/>
    <w:unhideWhenUsed/>
    <w:rsid w:val="00F56589"/>
    <w:rPr>
      <w:vertAlign w:val="superscript"/>
    </w:rPr>
  </w:style>
  <w:style w:type="character" w:styleId="CommentReference">
    <w:name w:val="annotation reference"/>
    <w:basedOn w:val="DefaultParagraphFont"/>
    <w:uiPriority w:val="99"/>
    <w:semiHidden/>
    <w:unhideWhenUsed/>
    <w:rsid w:val="00C925D2"/>
    <w:rPr>
      <w:sz w:val="16"/>
      <w:szCs w:val="16"/>
    </w:rPr>
  </w:style>
  <w:style w:type="paragraph" w:styleId="CommentText">
    <w:name w:val="annotation text"/>
    <w:basedOn w:val="Normal"/>
    <w:link w:val="CommentTextChar"/>
    <w:uiPriority w:val="99"/>
    <w:unhideWhenUsed/>
    <w:rsid w:val="00C925D2"/>
    <w:rPr>
      <w:sz w:val="20"/>
      <w:szCs w:val="20"/>
    </w:rPr>
  </w:style>
  <w:style w:type="character" w:customStyle="1" w:styleId="CommentTextChar">
    <w:name w:val="Comment Text Char"/>
    <w:basedOn w:val="DefaultParagraphFont"/>
    <w:link w:val="CommentText"/>
    <w:uiPriority w:val="99"/>
    <w:rsid w:val="00C925D2"/>
    <w:rPr>
      <w:lang w:val="en-AU" w:eastAsia="es-ES"/>
    </w:rPr>
  </w:style>
  <w:style w:type="paragraph" w:styleId="CommentSubject">
    <w:name w:val="annotation subject"/>
    <w:basedOn w:val="CommentText"/>
    <w:next w:val="CommentText"/>
    <w:link w:val="CommentSubjectChar"/>
    <w:uiPriority w:val="99"/>
    <w:semiHidden/>
    <w:unhideWhenUsed/>
    <w:rsid w:val="00C925D2"/>
    <w:rPr>
      <w:b/>
      <w:bCs/>
    </w:rPr>
  </w:style>
  <w:style w:type="character" w:customStyle="1" w:styleId="CommentSubjectChar">
    <w:name w:val="Comment Subject Char"/>
    <w:basedOn w:val="CommentTextChar"/>
    <w:link w:val="CommentSubject"/>
    <w:uiPriority w:val="99"/>
    <w:semiHidden/>
    <w:rsid w:val="00C925D2"/>
    <w:rPr>
      <w:b/>
      <w:bCs/>
      <w:lang w:val="en-AU" w:eastAsia="es-ES"/>
    </w:rPr>
  </w:style>
  <w:style w:type="paragraph" w:styleId="BalloonText">
    <w:name w:val="Balloon Text"/>
    <w:basedOn w:val="Normal"/>
    <w:link w:val="BalloonTextChar"/>
    <w:uiPriority w:val="99"/>
    <w:semiHidden/>
    <w:unhideWhenUsed/>
    <w:rsid w:val="00C92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5D2"/>
    <w:rPr>
      <w:rFonts w:ascii="Segoe UI" w:hAnsi="Segoe UI" w:cs="Segoe UI"/>
      <w:sz w:val="18"/>
      <w:szCs w:val="18"/>
      <w:lang w:val="en-AU" w:eastAsia="es-ES"/>
    </w:rPr>
  </w:style>
  <w:style w:type="character" w:customStyle="1" w:styleId="apple-converted-space">
    <w:name w:val="apple-converted-space"/>
    <w:basedOn w:val="DefaultParagraphFont"/>
    <w:rsid w:val="004F332F"/>
  </w:style>
  <w:style w:type="paragraph" w:styleId="Footer">
    <w:name w:val="footer"/>
    <w:basedOn w:val="Normal"/>
    <w:link w:val="FooterChar"/>
    <w:uiPriority w:val="99"/>
    <w:semiHidden/>
    <w:unhideWhenUsed/>
    <w:rsid w:val="00C50A77"/>
    <w:pPr>
      <w:tabs>
        <w:tab w:val="center" w:pos="4252"/>
        <w:tab w:val="right" w:pos="8504"/>
      </w:tabs>
    </w:pPr>
  </w:style>
  <w:style w:type="character" w:customStyle="1" w:styleId="FooterChar">
    <w:name w:val="Footer Char"/>
    <w:basedOn w:val="DefaultParagraphFont"/>
    <w:link w:val="Footer"/>
    <w:uiPriority w:val="99"/>
    <w:semiHidden/>
    <w:rsid w:val="00C50A77"/>
    <w:rPr>
      <w:sz w:val="28"/>
      <w:szCs w:val="28"/>
      <w:lang w:val="en-AU" w:eastAsia="es-ES"/>
    </w:rPr>
  </w:style>
  <w:style w:type="character" w:styleId="UnresolvedMention">
    <w:name w:val="Unresolved Mention"/>
    <w:basedOn w:val="DefaultParagraphFont"/>
    <w:uiPriority w:val="99"/>
    <w:semiHidden/>
    <w:unhideWhenUsed/>
    <w:rsid w:val="002F7F94"/>
    <w:rPr>
      <w:color w:val="605E5C"/>
      <w:shd w:val="clear" w:color="auto" w:fill="E1DFDD"/>
    </w:rPr>
  </w:style>
  <w:style w:type="paragraph" w:customStyle="1" w:styleId="JReferences">
    <w:name w:val="JReferences"/>
    <w:basedOn w:val="Normal"/>
    <w:uiPriority w:val="99"/>
    <w:qFormat/>
    <w:rsid w:val="00C81724"/>
    <w:pPr>
      <w:tabs>
        <w:tab w:val="clear" w:pos="9498"/>
        <w:tab w:val="left" w:pos="227"/>
      </w:tabs>
      <w:bidi/>
      <w:spacing w:before="120" w:after="120"/>
      <w:ind w:left="289" w:hanging="289"/>
      <w:jc w:val="both"/>
    </w:pPr>
    <w:rPr>
      <w:rFonts w:ascii="Arial" w:eastAsia="PMingLiU" w:hAnsi="Arial" w:cs="Arial"/>
      <w:sz w:val="22"/>
      <w:szCs w:val="22"/>
      <w:lang w:bidi="he-IL"/>
    </w:rPr>
  </w:style>
  <w:style w:type="character" w:styleId="PlaceholderText">
    <w:name w:val="Placeholder Text"/>
    <w:basedOn w:val="DefaultParagraphFont"/>
    <w:uiPriority w:val="67"/>
    <w:semiHidden/>
    <w:rsid w:val="00A603D7"/>
    <w:rPr>
      <w:color w:val="666666"/>
    </w:rPr>
  </w:style>
  <w:style w:type="paragraph" w:styleId="Revision">
    <w:name w:val="Revision"/>
    <w:hidden/>
    <w:uiPriority w:val="71"/>
    <w:semiHidden/>
    <w:rsid w:val="009B1F89"/>
    <w:rPr>
      <w:rFonts w:eastAsia="Times New Roman"/>
      <w:sz w:val="28"/>
      <w:szCs w:val="28"/>
      <w:lang w:val="en-AU"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63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858-022-0143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Conference_TemplatePME3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24481-8E04-42FE-8F53-8FD24391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C:\Users\Peter\Downloads\Conference_TemplatePME37 (2).dot</Template>
  <TotalTime>100</TotalTime>
  <Pages>8</Pages>
  <Words>3374</Words>
  <Characters>19234</Characters>
  <Application>Microsoft Office Word</Application>
  <DocSecurity>0</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PME 48</vt:lpstr>
      <vt:lpstr>Template PME 45</vt:lpstr>
    </vt:vector>
  </TitlesOfParts>
  <Company/>
  <LinksUpToDate>false</LinksUpToDate>
  <CharactersWithSpaces>22563</CharactersWithSpaces>
  <SharedDoc>false</SharedDoc>
  <HLinks>
    <vt:vector size="12" baseType="variant">
      <vt:variant>
        <vt:i4>6357011</vt:i4>
      </vt:variant>
      <vt:variant>
        <vt:i4>3</vt:i4>
      </vt:variant>
      <vt:variant>
        <vt:i4>0</vt:i4>
      </vt:variant>
      <vt:variant>
        <vt:i4>5</vt:i4>
      </vt:variant>
      <vt:variant>
        <vt:lpwstr>mailto:elisabet@umea-congress.se</vt:lpwstr>
      </vt:variant>
      <vt:variant>
        <vt:lpwstr/>
      </vt:variant>
      <vt:variant>
        <vt:i4>2883593</vt:i4>
      </vt:variant>
      <vt:variant>
        <vt:i4>0</vt:i4>
      </vt:variant>
      <vt:variant>
        <vt:i4>0</vt:i4>
      </vt:variant>
      <vt:variant>
        <vt:i4>5</vt:i4>
      </vt:variant>
      <vt:variant>
        <vt:lpwstr>http://www.apastyle.org/apa-style-help.aspx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 48</dc:title>
  <dc:creator>PME</dc:creator>
  <cp:lastModifiedBy>אביטל אלבוים-כהן</cp:lastModifiedBy>
  <cp:revision>26</cp:revision>
  <cp:lastPrinted>2019-01-14T11:33:00Z</cp:lastPrinted>
  <dcterms:created xsi:type="dcterms:W3CDTF">2025-01-15T18:10:00Z</dcterms:created>
  <dcterms:modified xsi:type="dcterms:W3CDTF">2025-01-18T20:42:00Z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c8ed3d38535d9a45b8ded4c2b0f749ffaced8a977331b89c8912c50116f70e93</vt:lpwstr>
  </property>
</Properties>
</file>